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78A6" w14:textId="77777777" w:rsidR="00E25222" w:rsidRDefault="00E25222">
      <w:pPr>
        <w:spacing w:before="120" w:line="360" w:lineRule="auto"/>
        <w:jc w:val="center"/>
        <w:rPr>
          <w:rFonts w:ascii="Times New Roman" w:eastAsia="Times New Roman" w:hAnsi="Times New Roman" w:cs="Times New Roman"/>
          <w:b/>
          <w:sz w:val="28"/>
          <w:szCs w:val="28"/>
        </w:rPr>
      </w:pPr>
    </w:p>
    <w:p w14:paraId="222F2E68" w14:textId="5472583E" w:rsidR="00E25222" w:rsidRDefault="00920315">
      <w:pPr>
        <w:spacing w:before="12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Comments by The Advocates for Human Rights on the Criminal Code, Administrative Code, and Criminal Procedural Code of Turkmenistan</w:t>
      </w:r>
    </w:p>
    <w:p w14:paraId="071404CE" w14:textId="77777777" w:rsidR="00E25222" w:rsidRDefault="00920315">
      <w:pPr>
        <w:spacing w:before="12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December 2023</w:t>
      </w:r>
    </w:p>
    <w:p w14:paraId="26090F15"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Advocates for Human Rights (The Advocates) reviewed the Criminal Code, the Administrative Code, and the Criminal Procedural Code of Turkmenistan at the request of Progres Foundation. </w:t>
      </w:r>
    </w:p>
    <w:p w14:paraId="44944D9A" w14:textId="06D8F3B1"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Advocates bases its comments on an unofficial translation of the Codes, as provided by Progres Foundation. Any quotations are derived from this unofficial translation. The commentary below is not intended to be an exhaustive analysis but a commentary based on the provisions we see as an urgent priority for reform. Our commentary is based on international legal standards and best practices including: CEDAW and its relevant General Recommendations, UN Handbook for Legislation on Violence against Women (2010), the UN Women Virtual Knowledge Centre to End Violence against Women and Girls (</w:t>
      </w:r>
      <w:hyperlink r:id="rId10">
        <w:r>
          <w:rPr>
            <w:rFonts w:ascii="Times New Roman" w:eastAsia="Times New Roman" w:hAnsi="Times New Roman" w:cs="Times New Roman"/>
            <w:color w:val="0563C1"/>
            <w:sz w:val="24"/>
            <w:szCs w:val="24"/>
            <w:u w:val="single"/>
          </w:rPr>
          <w:t>www.endvawnow.org</w:t>
        </w:r>
      </w:hyperlink>
      <w:r>
        <w:rPr>
          <w:rFonts w:ascii="Times New Roman" w:eastAsia="Times New Roman" w:hAnsi="Times New Roman" w:cs="Times New Roman"/>
          <w:sz w:val="24"/>
          <w:szCs w:val="24"/>
        </w:rPr>
        <w:t xml:space="preserve">), other relevant instruments, and recognized best practices and policies. </w:t>
      </w:r>
    </w:p>
    <w:p w14:paraId="0871F6E6" w14:textId="77777777" w:rsidR="00E25222" w:rsidRDefault="00E25222">
      <w:pPr>
        <w:spacing w:before="120" w:line="360" w:lineRule="auto"/>
        <w:ind w:firstLine="720"/>
        <w:rPr>
          <w:rFonts w:ascii="Times New Roman" w:eastAsia="Times New Roman" w:hAnsi="Times New Roman" w:cs="Times New Roman"/>
          <w:sz w:val="24"/>
          <w:szCs w:val="24"/>
        </w:rPr>
      </w:pPr>
    </w:p>
    <w:p w14:paraId="171982E4" w14:textId="77777777" w:rsidR="00E25222" w:rsidRDefault="00920315">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Overview of Comments and Recommendations</w:t>
      </w:r>
    </w:p>
    <w:p w14:paraId="48BF142F"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this commentary, we aim to harmonize the current criminal and administrative codes with domestic and international legal binding standards. In the case of domestic legislation, this commentary allies with A</w:t>
      </w:r>
      <w:r>
        <w:rPr>
          <w:rFonts w:ascii="Times New Roman" w:eastAsia="Times New Roman" w:hAnsi="Times New Roman" w:cs="Times New Roman"/>
          <w:sz w:val="24"/>
          <w:szCs w:val="24"/>
          <w:highlight w:val="white"/>
        </w:rPr>
        <w:t>rticle 29 of the Constitution of Turkmenistan, which ensures equality and punishes violation of equality based on gender;</w:t>
      </w:r>
      <w:r>
        <w:rPr>
          <w:highlight w:val="white"/>
          <w:vertAlign w:val="superscript"/>
        </w:rPr>
        <w:footnoteReference w:id="1"/>
      </w:r>
      <w:r>
        <w:rPr>
          <w:rFonts w:ascii="Times New Roman" w:eastAsia="Times New Roman" w:hAnsi="Times New Roman" w:cs="Times New Roman"/>
          <w:sz w:val="24"/>
          <w:szCs w:val="24"/>
          <w:highlight w:val="white"/>
        </w:rPr>
        <w:t xml:space="preserve"> the 2015 Law of Turkmenistan on Equality and Equal Opportunities for Men and Women, especially Article 22/2 which guarantees and ensures protection from physical or psychological violence in families;</w:t>
      </w:r>
      <w:r>
        <w:rPr>
          <w:highlight w:val="white"/>
          <w:vertAlign w:val="superscript"/>
        </w:rPr>
        <w:footnoteReference w:id="2"/>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lastRenderedPageBreak/>
        <w:t>and finally, Article 3.2/8 of the Family Code of Turkmenistan, which orders the prevention of any form of violence against any member of the family.</w:t>
      </w:r>
      <w:r>
        <w:rPr>
          <w:highlight w:val="white"/>
          <w:vertAlign w:val="superscript"/>
        </w:rPr>
        <w:footnoteReference w:id="3"/>
      </w:r>
    </w:p>
    <w:p w14:paraId="6576211E"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Turkmenistan can work toward fulfilling its obligation to comply with international standards by assessing and implementing provisions that prevent and protect individuals from domestic violence, as we set forth in this document and by “</w:t>
      </w:r>
      <w:r>
        <w:rPr>
          <w:rFonts w:ascii="Times New Roman" w:eastAsia="Times New Roman" w:hAnsi="Times New Roman" w:cs="Times New Roman"/>
          <w:i/>
          <w:sz w:val="24"/>
          <w:szCs w:val="24"/>
        </w:rPr>
        <w:t>preventing [gender-based violence against women] such acts or omissions by their own organs and agents, including through training and the adoption, implementation and monitoring of legal provisions, administrative regulations and codes of conduct, and for investigating, prosecuting and applying appropriate legal or disciplinary sanctions, as well as providing reparation, in all cases of gender-based violence against women, including those constituting international crimes, and in cases of failure, negligence or omission on the part of public authorities</w:t>
      </w:r>
      <w:r>
        <w:rPr>
          <w:rFonts w:ascii="Times New Roman" w:eastAsia="Times New Roman" w:hAnsi="Times New Roman" w:cs="Times New Roman"/>
        </w:rPr>
        <w:t>…”</w:t>
      </w:r>
      <w:r>
        <w:rPr>
          <w:vertAlign w:val="superscript"/>
        </w:rPr>
        <w:footnoteReference w:id="4"/>
      </w:r>
    </w:p>
    <w:p w14:paraId="7FE17820" w14:textId="77777777" w:rsidR="00E25222" w:rsidRDefault="00920315">
      <w:pPr>
        <w:spacing w:before="12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Advocates recommends that the government of Turkmenistan continue to monitor implementation of the laws, and revise and strengthen the various Codes to ensure that each provision embodies the principle that women have the right to be free from violence and  provides an effective and accessible remedy for domestic violence and the threat thereof so women can be safe and offenders held accountable. With ongoing monitoring of and reform of this legislation, </w:t>
      </w:r>
      <w:r>
        <w:rPr>
          <w:rFonts w:ascii="Times New Roman" w:eastAsia="Times New Roman" w:hAnsi="Times New Roman" w:cs="Times New Roman"/>
          <w:sz w:val="24"/>
          <w:szCs w:val="24"/>
        </w:rPr>
        <w:t>Turkmenistan will ensure the current gender-neutral laws and policies do not continue creating and perpetuating existing legal inequalities for victims, especially women and girls.</w:t>
      </w:r>
    </w:p>
    <w:p w14:paraId="07CA69FA" w14:textId="77777777" w:rsidR="00E25222" w:rsidRDefault="00920315">
      <w:pPr>
        <w:spacing w:before="12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addition, the government should ensure that offenders are held accountable for domestic violence. In countries where domestic violence laws have been in place for decades, effective domestic violence laws have evolved to include four primary components:</w:t>
      </w:r>
    </w:p>
    <w:p w14:paraId="7B504328" w14:textId="77777777" w:rsidR="00E25222" w:rsidRDefault="00920315">
      <w:pPr>
        <w:numPr>
          <w:ilvl w:val="0"/>
          <w:numId w:val="4"/>
        </w:numPr>
        <w:pBdr>
          <w:top w:val="nil"/>
          <w:left w:val="nil"/>
          <w:bottom w:val="nil"/>
          <w:right w:val="nil"/>
          <w:between w:val="nil"/>
        </w:pBdr>
        <w:spacing w:before="120" w:after="0" w:line="360" w:lineRule="auto"/>
        <w:rPr>
          <w:color w:val="000000"/>
          <w:sz w:val="24"/>
          <w:szCs w:val="24"/>
        </w:rPr>
      </w:pPr>
      <w:r>
        <w:rPr>
          <w:rFonts w:ascii="Times New Roman" w:eastAsia="Times New Roman" w:hAnsi="Times New Roman" w:cs="Times New Roman"/>
          <w:b/>
          <w:color w:val="000000"/>
          <w:sz w:val="24"/>
          <w:szCs w:val="24"/>
        </w:rPr>
        <w:t>Administrative or civil law</w:t>
      </w:r>
      <w:r>
        <w:rPr>
          <w:rFonts w:ascii="Times New Roman" w:eastAsia="Times New Roman" w:hAnsi="Times New Roman" w:cs="Times New Roman"/>
          <w:color w:val="000000"/>
          <w:sz w:val="24"/>
          <w:szCs w:val="24"/>
        </w:rPr>
        <w:t xml:space="preserve"> provisions that allow the government to </w:t>
      </w:r>
      <w:r>
        <w:rPr>
          <w:rFonts w:ascii="Times New Roman" w:eastAsia="Times New Roman" w:hAnsi="Times New Roman" w:cs="Times New Roman"/>
          <w:color w:val="000000"/>
          <w:sz w:val="24"/>
          <w:szCs w:val="24"/>
          <w:u w:val="single"/>
        </w:rPr>
        <w:t>protect</w:t>
      </w:r>
      <w:r>
        <w:rPr>
          <w:rFonts w:ascii="Times New Roman" w:eastAsia="Times New Roman" w:hAnsi="Times New Roman" w:cs="Times New Roman"/>
          <w:color w:val="000000"/>
          <w:sz w:val="24"/>
          <w:szCs w:val="24"/>
        </w:rPr>
        <w:t xml:space="preserve"> domestic violence victims (orders for protection, hotlines, shelters, and other victims' services)</w:t>
      </w:r>
    </w:p>
    <w:p w14:paraId="512D3D3B" w14:textId="77777777" w:rsidR="00E25222" w:rsidRDefault="00920315">
      <w:pPr>
        <w:numPr>
          <w:ilvl w:val="0"/>
          <w:numId w:val="4"/>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b/>
          <w:color w:val="000000"/>
          <w:sz w:val="24"/>
          <w:szCs w:val="24"/>
        </w:rPr>
        <w:t>Criminal law</w:t>
      </w:r>
      <w:r>
        <w:rPr>
          <w:rFonts w:ascii="Times New Roman" w:eastAsia="Times New Roman" w:hAnsi="Times New Roman" w:cs="Times New Roman"/>
          <w:color w:val="000000"/>
          <w:sz w:val="24"/>
          <w:szCs w:val="24"/>
        </w:rPr>
        <w:t xml:space="preserve"> provisions that allow the government to investigate and </w:t>
      </w:r>
      <w:r>
        <w:rPr>
          <w:rFonts w:ascii="Times New Roman" w:eastAsia="Times New Roman" w:hAnsi="Times New Roman" w:cs="Times New Roman"/>
          <w:color w:val="000000"/>
          <w:sz w:val="24"/>
          <w:szCs w:val="24"/>
          <w:u w:val="single"/>
        </w:rPr>
        <w:t>prosecute</w:t>
      </w:r>
      <w:r>
        <w:rPr>
          <w:rFonts w:ascii="Times New Roman" w:eastAsia="Times New Roman" w:hAnsi="Times New Roman" w:cs="Times New Roman"/>
          <w:color w:val="000000"/>
          <w:sz w:val="24"/>
          <w:szCs w:val="24"/>
        </w:rPr>
        <w:t xml:space="preserve"> perpetrators of domestic violence (assault, terroristic threats, criminal sexual conduct, interference with an emergency call and other criminal laws), and</w:t>
      </w:r>
    </w:p>
    <w:p w14:paraId="4F92E942" w14:textId="77777777" w:rsidR="00E25222" w:rsidRDefault="00920315">
      <w:pPr>
        <w:numPr>
          <w:ilvl w:val="0"/>
          <w:numId w:val="4"/>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b/>
          <w:color w:val="000000"/>
          <w:sz w:val="24"/>
          <w:szCs w:val="24"/>
        </w:rPr>
        <w:lastRenderedPageBreak/>
        <w:t>An infrastructure</w:t>
      </w:r>
      <w:r>
        <w:rPr>
          <w:rFonts w:ascii="Times New Roman" w:eastAsia="Times New Roman" w:hAnsi="Times New Roman" w:cs="Times New Roman"/>
          <w:color w:val="000000"/>
          <w:sz w:val="24"/>
          <w:szCs w:val="24"/>
        </w:rPr>
        <w:t xml:space="preserve"> to promote </w:t>
      </w:r>
      <w:r>
        <w:rPr>
          <w:rFonts w:ascii="Times New Roman" w:eastAsia="Times New Roman" w:hAnsi="Times New Roman" w:cs="Times New Roman"/>
          <w:color w:val="000000"/>
          <w:sz w:val="24"/>
          <w:szCs w:val="24"/>
          <w:u w:val="single"/>
        </w:rPr>
        <w:t>prevention</w:t>
      </w:r>
      <w:r>
        <w:rPr>
          <w:rFonts w:ascii="Times New Roman" w:eastAsia="Times New Roman" w:hAnsi="Times New Roman" w:cs="Times New Roman"/>
          <w:color w:val="000000"/>
          <w:sz w:val="24"/>
          <w:szCs w:val="24"/>
        </w:rPr>
        <w:t xml:space="preserve"> of domestic violence (government offices to coordinate and award funding to the private sector)</w:t>
      </w:r>
    </w:p>
    <w:p w14:paraId="520B673C" w14:textId="77777777" w:rsidR="00E25222" w:rsidRDefault="00920315">
      <w:pPr>
        <w:numPr>
          <w:ilvl w:val="0"/>
          <w:numId w:val="4"/>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b/>
          <w:color w:val="000000"/>
          <w:sz w:val="24"/>
          <w:szCs w:val="24"/>
        </w:rPr>
        <w:t xml:space="preserve">Partnerships </w:t>
      </w:r>
      <w:r>
        <w:rPr>
          <w:rFonts w:ascii="Times New Roman" w:eastAsia="Times New Roman" w:hAnsi="Times New Roman" w:cs="Times New Roman"/>
          <w:color w:val="000000"/>
          <w:sz w:val="24"/>
          <w:szCs w:val="24"/>
        </w:rPr>
        <w:t>to ensure an inter-agency, coordinated community response that reduces the burden on the victim and ensures the system works faster and better for victims, victims are protected and receive the services they need, and perpetrators are held accountable and cease their abusive behavior.</w:t>
      </w:r>
    </w:p>
    <w:p w14:paraId="1A8455F8" w14:textId="77777777" w:rsidR="00E25222" w:rsidRDefault="00920315">
      <w:pPr>
        <w:spacing w:before="12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of the components- Protection, Prosecution, Prevention, and Partnerships- is important for a government to undertake when addressing domestic violence. However, governments must sometimes prioritize one component over another when resources are scarce. In that case, resources must be directed at protecting domestic violence victims. In addition, any prevention efforts must address the immediate need for the safety and security of domestic violence victims. In addition, monitoring, consistent funding, and trainings for systems actors led by providers who best understand victims’ needs is essential to promoting effectiveness of the law.</w:t>
      </w:r>
    </w:p>
    <w:p w14:paraId="61E2D785" w14:textId="77777777" w:rsidR="00E25222" w:rsidRDefault="00920315">
      <w:pPr>
        <w:spacing w:before="120" w:line="360" w:lineRule="auto"/>
        <w:ind w:firstLine="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revising and strengthening the law, The Advocates recommends that the drafters review the following important models for legislation on domestic violence:</w:t>
      </w:r>
    </w:p>
    <w:p w14:paraId="5672EDA5" w14:textId="77777777" w:rsidR="00E25222" w:rsidRDefault="00920315">
      <w:pPr>
        <w:numPr>
          <w:ilvl w:val="0"/>
          <w:numId w:val="8"/>
        </w:numPr>
        <w:pBdr>
          <w:top w:val="nil"/>
          <w:left w:val="nil"/>
          <w:bottom w:val="nil"/>
          <w:right w:val="nil"/>
          <w:between w:val="nil"/>
        </w:pBdr>
        <w:spacing w:before="120" w:after="0" w:line="360" w:lineRule="auto"/>
        <w:rPr>
          <w:color w:val="000000"/>
          <w:sz w:val="24"/>
          <w:szCs w:val="24"/>
        </w:rPr>
      </w:pPr>
      <w:r>
        <w:rPr>
          <w:rFonts w:ascii="Times New Roman" w:eastAsia="Times New Roman" w:hAnsi="Times New Roman" w:cs="Times New Roman"/>
          <w:color w:val="000000"/>
          <w:sz w:val="24"/>
          <w:szCs w:val="24"/>
        </w:rPr>
        <w:t>The U.N. Handbook for Model Legislation on Violence against Women (2012)</w:t>
      </w:r>
    </w:p>
    <w:p w14:paraId="1213B51A"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UN Women Virtual Knowledge Centre to End Violence against Women and Girls, available at </w:t>
      </w:r>
      <w:hyperlink r:id="rId11">
        <w:r>
          <w:rPr>
            <w:rFonts w:ascii="Times New Roman" w:eastAsia="Times New Roman" w:hAnsi="Times New Roman" w:cs="Times New Roman"/>
            <w:color w:val="0563C1"/>
            <w:sz w:val="24"/>
            <w:szCs w:val="24"/>
            <w:u w:val="single"/>
          </w:rPr>
          <w:t>www.endvawnow.org</w:t>
        </w:r>
      </w:hyperlink>
      <w:r>
        <w:rPr>
          <w:rFonts w:ascii="Times New Roman" w:eastAsia="Times New Roman" w:hAnsi="Times New Roman" w:cs="Times New Roman"/>
          <w:color w:val="000000"/>
          <w:sz w:val="24"/>
          <w:szCs w:val="24"/>
        </w:rPr>
        <w:t xml:space="preserve"> (Legislation module)</w:t>
      </w:r>
    </w:p>
    <w:p w14:paraId="191757FA"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The Convention on the Elimination of All Forms of Discrimination against Women (CEDAW), which Turkmenistan ratified on 1 May 1997.</w:t>
      </w:r>
    </w:p>
    <w:p w14:paraId="2F96C7C5"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International Covenant on Civil and Political Rights (ICCPR), which Turkmenistan ratified on 1 May 1997.</w:t>
      </w:r>
    </w:p>
    <w:p w14:paraId="467AA203"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Convention against Torture and Other Cruel Inhuman or Degrading Treatment or Punishment, (CAT), which Turkmenistan ratified on 25 June 1999.</w:t>
      </w:r>
    </w:p>
    <w:p w14:paraId="69A637EF"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Council of Europe Convention on preventing and combating violence against women and domestic violence (2011) (Istanbul Convention)</w:t>
      </w:r>
    </w:p>
    <w:p w14:paraId="28BCCCC7" w14:textId="77777777" w:rsidR="00E25222" w:rsidRDefault="00920315">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The Advocates for Human Rights, Stop Violence against Women, www.stopvaw.org</w:t>
      </w:r>
    </w:p>
    <w:p w14:paraId="6E08B8EB" w14:textId="77777777" w:rsidR="00E25222" w:rsidRDefault="00920315">
      <w:pPr>
        <w:spacing w:before="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well as the following standards:</w:t>
      </w:r>
    </w:p>
    <w:p w14:paraId="5FAB0C46" w14:textId="77777777" w:rsidR="00E25222" w:rsidRDefault="00920315">
      <w:pPr>
        <w:numPr>
          <w:ilvl w:val="0"/>
          <w:numId w:val="8"/>
        </w:numPr>
        <w:pBdr>
          <w:top w:val="nil"/>
          <w:left w:val="nil"/>
          <w:bottom w:val="nil"/>
          <w:right w:val="nil"/>
          <w:between w:val="nil"/>
        </w:pBdr>
        <w:spacing w:before="120" w:after="0" w:line="360" w:lineRule="auto"/>
        <w:rPr>
          <w:color w:val="000000"/>
          <w:sz w:val="24"/>
          <w:szCs w:val="24"/>
        </w:rPr>
      </w:pPr>
      <w:r>
        <w:rPr>
          <w:rFonts w:ascii="Times New Roman" w:eastAsia="Times New Roman" w:hAnsi="Times New Roman" w:cs="Times New Roman"/>
          <w:color w:val="000000"/>
          <w:sz w:val="24"/>
          <w:szCs w:val="24"/>
        </w:rPr>
        <w:lastRenderedPageBreak/>
        <w:t>United Nations CEDAW, General Recommendation No. 33 on women’s access to justice (2015)</w:t>
      </w:r>
    </w:p>
    <w:p w14:paraId="4002D1D7"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United Nations CEDAW, General Recommendation No. 35 on gender-based violence against women, updating general recommendation No. 19 (2017)</w:t>
      </w:r>
    </w:p>
    <w:p w14:paraId="4738FAF9"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United Nations Human Rights Committee, General Comment No. 28 Article 3 (The equality of rights between men and women)</w:t>
      </w:r>
    </w:p>
    <w:p w14:paraId="70010270" w14:textId="77777777" w:rsidR="00E25222" w:rsidRDefault="00920315">
      <w:pPr>
        <w:numPr>
          <w:ilvl w:val="0"/>
          <w:numId w:val="8"/>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UN Special Rapporteur on Violence against Women </w:t>
      </w:r>
      <w:r>
        <w:rPr>
          <w:rFonts w:ascii="Times New Roman" w:eastAsia="Times New Roman" w:hAnsi="Times New Roman" w:cs="Times New Roman"/>
          <w:i/>
          <w:color w:val="000000"/>
          <w:sz w:val="24"/>
          <w:szCs w:val="24"/>
        </w:rPr>
        <w:t>Report on Shelters and Protection Orders</w:t>
      </w:r>
      <w:r>
        <w:rPr>
          <w:rFonts w:ascii="Times New Roman" w:eastAsia="Times New Roman" w:hAnsi="Times New Roman" w:cs="Times New Roman"/>
          <w:color w:val="000000"/>
          <w:sz w:val="24"/>
          <w:szCs w:val="24"/>
        </w:rPr>
        <w:t xml:space="preserve"> (2017)</w:t>
      </w:r>
    </w:p>
    <w:p w14:paraId="71C776AC" w14:textId="77777777" w:rsidR="00E25222" w:rsidRDefault="00920315">
      <w:pPr>
        <w:numPr>
          <w:ilvl w:val="0"/>
          <w:numId w:val="8"/>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 xml:space="preserve">UN Special Rapporteur on Violence Against Women Report on </w:t>
      </w:r>
      <w:r>
        <w:rPr>
          <w:rFonts w:ascii="Times New Roman" w:eastAsia="Times New Roman" w:hAnsi="Times New Roman" w:cs="Times New Roman"/>
          <w:i/>
          <w:color w:val="000000"/>
          <w:sz w:val="24"/>
          <w:szCs w:val="24"/>
        </w:rPr>
        <w:t>Framework for legislation on rape. (2021)</w:t>
      </w:r>
    </w:p>
    <w:p w14:paraId="0C20AB95" w14:textId="77777777" w:rsidR="00E25222" w:rsidRDefault="00E25222">
      <w:pPr>
        <w:spacing w:before="120" w:line="360" w:lineRule="auto"/>
        <w:rPr>
          <w:rFonts w:ascii="Times New Roman" w:eastAsia="Times New Roman" w:hAnsi="Times New Roman" w:cs="Times New Roman"/>
          <w:color w:val="000000"/>
          <w:sz w:val="24"/>
          <w:szCs w:val="24"/>
        </w:rPr>
      </w:pPr>
    </w:p>
    <w:p w14:paraId="5C6339C9" w14:textId="77777777" w:rsidR="00E25222" w:rsidRDefault="00920315">
      <w:pPr>
        <w:spacing w:before="12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Addition of a separate crime of domestic violence</w:t>
      </w:r>
    </w:p>
    <w:p w14:paraId="65ACB8DF" w14:textId="77777777" w:rsidR="00E25222" w:rsidRDefault="00920315">
      <w:pPr>
        <w:spacing w:before="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Currently, neither the Criminal Code nor Administrative Code provide adequate protection for victim-survivors of domestic violence that comply with international legal standards and best practices. A separate domestic violence provision should be added to the criminal code, given the specific dynamics of domestic violence. Legislation should provide a clear definition of domestic violence which includes physical, sexual, emotional and/ or psychological, and patrimonial, property and/ or economic violence.</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The definition should apply to spouses and former spouses, parents and children, persons related by blood, persons who are presently residing together or who have resided together in the past, persons who have a child in common, a man and woman if the woman is pregnant and the man is alleged to be the father, and persons involved in a past or current intimate, significant, or romantic relationship. </w:t>
      </w:r>
    </w:p>
    <w:p w14:paraId="2E3D2F96" w14:textId="77777777" w:rsidR="00E25222" w:rsidRDefault="00920315">
      <w:pPr>
        <w:spacing w:before="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definition of domestic violence should center around physical harm, property damage against an intimate partner, bodily injury, and the fear of imminent danger for their own or for a third party’s life or health, or if any of these arising out of the intimate partner relationship. Inclusion of psychological and economic violence in the definition of domestic violence has in some cases had the unintended consequence of creating opportunities for </w:t>
      </w:r>
      <w:r>
        <w:rPr>
          <w:rFonts w:ascii="Times New Roman" w:eastAsia="Times New Roman" w:hAnsi="Times New Roman" w:cs="Times New Roman"/>
          <w:color w:val="000000"/>
          <w:sz w:val="24"/>
          <w:szCs w:val="24"/>
        </w:rPr>
        <w:lastRenderedPageBreak/>
        <w:t>perpetrators to counter-claim psychological or economic abuse against those they have been violent towards. For example, an angry or disgruntled violent abuser may seek protection measures against his wife for using property owned by him. Law enforcement may arrest the victim for arguing with or verbally insulting the perpetrator. Or, a perpetrator may claim that physical violence is an appropriate response to an act he sees as economically disadvantageous to him. Claims of psychological and economic violence may also be very difficult to prove in legal proceedings. A more appropriate way to address forms of psychological and economic violence is to use a framework based on “coercive control.” Coercive control is a pattern of domination through intimidation, isolation, degradation, and deprivation, in addition to physical assault, that targets the victim’s agency, independence, and dignity in ways that hinder her ability to make decisions to escape the subjugation.</w:t>
      </w:r>
      <w:r>
        <w:rPr>
          <w:rFonts w:ascii="Times New Roman" w:eastAsia="Times New Roman" w:hAnsi="Times New Roman" w:cs="Times New Roman"/>
          <w:color w:val="000000"/>
          <w:sz w:val="24"/>
          <w:szCs w:val="24"/>
          <w:vertAlign w:val="superscript"/>
        </w:rPr>
        <w:footnoteReference w:id="6"/>
      </w:r>
    </w:p>
    <w:p w14:paraId="7C574888" w14:textId="77777777" w:rsidR="00E25222" w:rsidRDefault="00920315">
      <w:pPr>
        <w:spacing w:before="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Criminal laws should clarify that domestic assault is a distinct crime, including low-level assaults that involve low-level injuries such as bruises, cuts, scrapes and burns. Domestic violence is about power and control where, in an abusive relationship, the perpetrator uses the pattern of tactics described in the </w:t>
      </w:r>
      <w:r>
        <w:rPr>
          <w:rFonts w:ascii="Times New Roman" w:eastAsia="Times New Roman" w:hAnsi="Times New Roman" w:cs="Times New Roman"/>
          <w:i/>
          <w:color w:val="000000"/>
          <w:sz w:val="24"/>
          <w:szCs w:val="24"/>
        </w:rPr>
        <w:t>Power and Control Wheel</w:t>
      </w:r>
      <w:r>
        <w:rPr>
          <w:rFonts w:ascii="Times New Roman" w:eastAsia="Times New Roman" w:hAnsi="Times New Roman" w:cs="Times New Roman"/>
          <w:color w:val="000000"/>
          <w:sz w:val="24"/>
          <w:szCs w:val="24"/>
        </w:rPr>
        <w:t xml:space="preserve"> to reinforce his use of physical violence.</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Laws and policies should make clear that law enforcement and prosecutors are obligated to pursue all cases of domestic violence, including assaults resulting in low-level injuries and threats of bodily harm. It is important to ensure that crimes involving domestic violence are not treated less seriously than other crimes. In fact, many jurisdictions increase criminal penalties for repeated domestic violence offenses, even if they involve low-level injury. The code should communicate to the public zero tolerance for all violence and treat domestic violence as a public safety crime.</w:t>
      </w:r>
    </w:p>
    <w:p w14:paraId="3B868EB4" w14:textId="77777777" w:rsidR="00E25222" w:rsidRDefault="00E25222">
      <w:pPr>
        <w:spacing w:before="120" w:line="360" w:lineRule="auto"/>
        <w:rPr>
          <w:rFonts w:ascii="Times New Roman" w:eastAsia="Times New Roman" w:hAnsi="Times New Roman" w:cs="Times New Roman"/>
          <w:color w:val="000000"/>
          <w:sz w:val="24"/>
          <w:szCs w:val="24"/>
        </w:rPr>
      </w:pPr>
    </w:p>
    <w:p w14:paraId="341D6EA0" w14:textId="77777777" w:rsidR="00E25222" w:rsidRDefault="00920315">
      <w:pPr>
        <w:spacing w:before="12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Addition of a Civil Order for Protection</w:t>
      </w:r>
    </w:p>
    <w:p w14:paraId="6829C4CB" w14:textId="6D2A179A" w:rsidR="00E25222" w:rsidRDefault="00920315">
      <w:pPr>
        <w:spacing w:before="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International standards and best practices recommend providing for a protective order that allows courts flexibility to ensure adequate remedies for victims and to ensure effective safeguards against further violence.</w:t>
      </w:r>
      <w:r>
        <w:rPr>
          <w:rFonts w:ascii="Times New Roman" w:eastAsia="Times New Roman" w:hAnsi="Times New Roman" w:cs="Times New Roman"/>
          <w:color w:val="000000"/>
          <w:sz w:val="24"/>
          <w:szCs w:val="24"/>
          <w:vertAlign w:val="superscript"/>
        </w:rPr>
        <w:footnoteReference w:id="8"/>
      </w:r>
      <w:r>
        <w:rPr>
          <w:rFonts w:ascii="Times New Roman" w:eastAsia="Times New Roman" w:hAnsi="Times New Roman" w:cs="Times New Roman"/>
          <w:color w:val="000000"/>
          <w:sz w:val="24"/>
          <w:szCs w:val="24"/>
        </w:rPr>
        <w:t xml:space="preserve"> The ideal legislation would provide for a civil or administrative remedy that includes both an emergency order for protection and a longer-term order that is issued after a full hearing. Laws should allow victims to apply for this protection independently, without an attorney or a government representative, to the courts or police without also filing a police report alleging criminal behavior on the part of the abuser. The decision to file for an order for protection should be left up to the victim’s discretion, with the exception of child victims or vulnerable adults. </w:t>
      </w:r>
    </w:p>
    <w:p w14:paraId="256F8354" w14:textId="77777777" w:rsidR="00E25222" w:rsidRDefault="00920315">
      <w:pPr>
        <w:spacing w:before="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law should direct authorities, either the courts or the police, to issue emergency order for protection if there is “an immediate and present danger of domestic abuse.”</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Authorities should be available on call outside of business hours to issue such orders and ensure victims’ safety can be protected even when courts are closed. Such an emergency order is often called an “</w:t>
      </w:r>
      <w:r>
        <w:rPr>
          <w:rFonts w:ascii="Times New Roman" w:eastAsia="Times New Roman" w:hAnsi="Times New Roman" w:cs="Times New Roman"/>
          <w:i/>
          <w:color w:val="000000"/>
          <w:sz w:val="24"/>
          <w:szCs w:val="24"/>
        </w:rPr>
        <w:t xml:space="preserve">ex </w:t>
      </w:r>
      <w:proofErr w:type="spellStart"/>
      <w:r>
        <w:rPr>
          <w:rFonts w:ascii="Times New Roman" w:eastAsia="Times New Roman" w:hAnsi="Times New Roman" w:cs="Times New Roman"/>
          <w:i/>
          <w:color w:val="000000"/>
          <w:sz w:val="24"/>
          <w:szCs w:val="24"/>
        </w:rPr>
        <w:t>parte</w:t>
      </w:r>
      <w:proofErr w:type="spellEnd"/>
      <w:r>
        <w:rPr>
          <w:rFonts w:ascii="Times New Roman" w:eastAsia="Times New Roman" w:hAnsi="Times New Roman" w:cs="Times New Roman"/>
          <w:color w:val="000000"/>
          <w:sz w:val="24"/>
          <w:szCs w:val="24"/>
        </w:rPr>
        <w:t>” order for protection.</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Where an “ex </w:t>
      </w:r>
      <w:proofErr w:type="spellStart"/>
      <w:r>
        <w:rPr>
          <w:rFonts w:ascii="Times New Roman" w:eastAsia="Times New Roman" w:hAnsi="Times New Roman" w:cs="Times New Roman"/>
          <w:color w:val="000000"/>
          <w:sz w:val="24"/>
          <w:szCs w:val="24"/>
        </w:rPr>
        <w:t>parte</w:t>
      </w:r>
      <w:proofErr w:type="spellEnd"/>
      <w:r>
        <w:rPr>
          <w:rFonts w:ascii="Times New Roman" w:eastAsia="Times New Roman" w:hAnsi="Times New Roman" w:cs="Times New Roman"/>
          <w:color w:val="000000"/>
          <w:sz w:val="24"/>
          <w:szCs w:val="24"/>
        </w:rPr>
        <w:t xml:space="preserve">” order for protection is issued, either the victim or offender may request a subsequent hearing. Where no emergency exists, a more permanent “order for protection” should be issued after a hearing, required only if requested or if certain relief—beyond a stay-away order—is requested by the victim. </w:t>
      </w:r>
    </w:p>
    <w:p w14:paraId="420DF05A" w14:textId="77777777" w:rsidR="00E25222" w:rsidRDefault="00920315">
      <w:pPr>
        <w:spacing w:before="12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violation of a civil order for protection should always be a criminal offense. If the abuser repeatedly violates the restrictions, the criminal penalties should become more severe with each violation. These civil/ administrative orders should be separate and distinct from no contact orders that may be issued in criminal proceedings and should be issued only at the request of the victim.</w:t>
      </w:r>
    </w:p>
    <w:p w14:paraId="2BCA876F" w14:textId="77777777" w:rsidR="00E25222" w:rsidRDefault="00E25222">
      <w:pPr>
        <w:spacing w:before="120" w:line="360" w:lineRule="auto"/>
        <w:ind w:firstLine="720"/>
        <w:rPr>
          <w:rFonts w:ascii="Times New Roman" w:eastAsia="Times New Roman" w:hAnsi="Times New Roman" w:cs="Times New Roman"/>
          <w:color w:val="000000"/>
          <w:sz w:val="24"/>
          <w:szCs w:val="24"/>
        </w:rPr>
      </w:pPr>
    </w:p>
    <w:p w14:paraId="13BA85E4" w14:textId="77777777" w:rsidR="00E25222" w:rsidRDefault="00920315">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Comments on Existing Provisions of Turkmenistan’s Criminal Code</w:t>
      </w:r>
    </w:p>
    <w:p w14:paraId="75AF4A20"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provide commentary on the select provisions of the Criminal Code that are applicable or impact the access to justice of individuals enduring domestic violence. The Advocates acknowledges the current legislation addresses some forms of violence, such as </w:t>
      </w:r>
      <w:r>
        <w:rPr>
          <w:rFonts w:ascii="Times New Roman" w:eastAsia="Times New Roman" w:hAnsi="Times New Roman" w:cs="Times New Roman"/>
          <w:sz w:val="24"/>
          <w:szCs w:val="24"/>
        </w:rPr>
        <w:lastRenderedPageBreak/>
        <w:t xml:space="preserve">bodily injuries, but emphasizes the importance of re-evaluating and reforming legislation in line with international standards to ensure victim safety and offender accountability. </w:t>
      </w:r>
    </w:p>
    <w:p w14:paraId="60BBA6B5" w14:textId="77777777" w:rsidR="00E25222" w:rsidRDefault="00E25222">
      <w:pPr>
        <w:spacing w:before="120" w:line="360" w:lineRule="auto"/>
        <w:ind w:firstLine="720"/>
        <w:rPr>
          <w:rFonts w:ascii="Times New Roman" w:eastAsia="Times New Roman" w:hAnsi="Times New Roman" w:cs="Times New Roman"/>
          <w:sz w:val="24"/>
          <w:szCs w:val="24"/>
        </w:rPr>
      </w:pPr>
    </w:p>
    <w:p w14:paraId="19F75BFA"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56. Circumstances mitigating liability</w:t>
      </w:r>
    </w:p>
    <w:p w14:paraId="419040B7" w14:textId="77777777" w:rsidR="00E25222" w:rsidRDefault="00920315">
      <w:pPr>
        <w:numPr>
          <w:ilvl w:val="0"/>
          <w:numId w:val="3"/>
        </w:numPr>
        <w:pBdr>
          <w:top w:val="nil"/>
          <w:left w:val="nil"/>
          <w:bottom w:val="nil"/>
          <w:right w:val="nil"/>
          <w:between w:val="nil"/>
        </w:pBdr>
        <w:spacing w:before="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following are recognized as mitigating circumstances</w:t>
      </w:r>
    </w:p>
    <w:p w14:paraId="560F7D7A" w14:textId="77777777" w:rsidR="00E25222" w:rsidRDefault="00920315">
      <w:pPr>
        <w:spacing w:before="12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the illegality or immorality of the actions of the victim, which were the reason for the commission of the crime</w:t>
      </w:r>
    </w:p>
    <w:p w14:paraId="2B4D98B9"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Commentary: </w:t>
      </w:r>
      <w:r>
        <w:rPr>
          <w:rFonts w:ascii="Times New Roman" w:eastAsia="Times New Roman" w:hAnsi="Times New Roman" w:cs="Times New Roman"/>
          <w:sz w:val="24"/>
          <w:szCs w:val="24"/>
        </w:rPr>
        <w:t>Concepts such as “honor” and “immorality</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are subjective concepts that may potentially be used against the victims, which reduces accountability and causes further harm. International best practice standards recognize that laws should omit any provisions that allow reduced penalties or exculpate perpetrators in crimes involving honor.</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It is very important that the language “the illegality or immorality of the actions of the victim, which were the reason for the commission of the crime” is </w:t>
      </w:r>
      <w:r>
        <w:rPr>
          <w:rFonts w:ascii="Times New Roman" w:eastAsia="Times New Roman" w:hAnsi="Times New Roman" w:cs="Times New Roman"/>
          <w:b/>
          <w:sz w:val="24"/>
          <w:szCs w:val="24"/>
          <w:u w:val="single"/>
        </w:rPr>
        <w:t>removed</w:t>
      </w:r>
      <w:r>
        <w:rPr>
          <w:rFonts w:ascii="Times New Roman" w:eastAsia="Times New Roman" w:hAnsi="Times New Roman" w:cs="Times New Roman"/>
          <w:sz w:val="24"/>
          <w:szCs w:val="24"/>
        </w:rPr>
        <w:t>. This language may potentially be used against victims, as perpetrators of domestic violence could use the concept of “moral” vaguely and claim that victims caused non-physical harm, such as moral damage. The term “moral” and the term “honor” may be used by perpetrators to justify violence based on some perceived insult or behavior from the victim, such as refusing to abide by gender stereotypes or using certain beauty services.</w:t>
      </w:r>
    </w:p>
    <w:p w14:paraId="5AE8BE28" w14:textId="77777777" w:rsidR="00E25222" w:rsidRDefault="00E25222">
      <w:pPr>
        <w:spacing w:before="120" w:line="360" w:lineRule="auto"/>
        <w:rPr>
          <w:rFonts w:ascii="Times New Roman" w:eastAsia="Times New Roman" w:hAnsi="Times New Roman" w:cs="Times New Roman"/>
          <w:sz w:val="24"/>
          <w:szCs w:val="24"/>
        </w:rPr>
      </w:pPr>
    </w:p>
    <w:p w14:paraId="2DD3F347"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102 Murder committed in a state of passion</w:t>
      </w:r>
    </w:p>
    <w:p w14:paraId="3728B01A"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Murder committed in a state of sudden strong emotional disturbance (affect) caused by violence, bullying or great insult on the part of the victim or other illegal or immoral actions (inaction) of the victim, as well as a long-term psychologically traumatic situation that arose in connection with systematic, illegal or immoral behavior [of the] victim, is punishable by imprisonment for a term of up to three years.</w:t>
      </w:r>
      <w:r>
        <w:rPr>
          <w:rFonts w:ascii="Times New Roman" w:eastAsia="Times New Roman" w:hAnsi="Times New Roman" w:cs="Times New Roman"/>
          <w:sz w:val="24"/>
          <w:szCs w:val="24"/>
        </w:rPr>
        <w:t xml:space="preserve"> </w:t>
      </w:r>
    </w:p>
    <w:p w14:paraId="2EF8AFF6" w14:textId="3CB71F36"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 xml:space="preserve">Commentary: </w:t>
      </w:r>
      <w:r>
        <w:rPr>
          <w:rFonts w:ascii="Times New Roman" w:eastAsia="Times New Roman" w:hAnsi="Times New Roman" w:cs="Times New Roman"/>
          <w:sz w:val="24"/>
          <w:szCs w:val="24"/>
        </w:rPr>
        <w:t>This current article presents an imminent risk to the rights and justice of individuals, especially those who are victims of gender-based violence and especially domestic violence. The low punishment for this crime provides a high risk of absence of justice and accountability to the victims and their families, and, therefore, impunity. Further, it incentivizes these kinds of practices, creating a sense of justification for perpetrators. The justifications of the conduct: “</w:t>
      </w:r>
      <w:r>
        <w:rPr>
          <w:rFonts w:ascii="Times New Roman" w:eastAsia="Times New Roman" w:hAnsi="Times New Roman" w:cs="Times New Roman"/>
          <w:i/>
          <w:sz w:val="24"/>
          <w:szCs w:val="24"/>
        </w:rPr>
        <w:t xml:space="preserve">violence, bullying or grave insult on the part of the victim or other illegal or immoral actions (inaction) of the victim, as well as a long-term psychologically traumatic situation that arose in connection with systematic, illegal or immoral behavior ” </w:t>
      </w:r>
      <w:r>
        <w:rPr>
          <w:rFonts w:ascii="Times New Roman" w:eastAsia="Times New Roman" w:hAnsi="Times New Roman" w:cs="Times New Roman"/>
          <w:sz w:val="24"/>
          <w:szCs w:val="24"/>
        </w:rPr>
        <w:t xml:space="preserve">are particularly concerning. As with Article 56(1) above, the vagueness and subjectivity of “immoral behavior” could easily be used against a victim. For instance, a perpetrator may claim their actions were caused by the immoral actions of the victim who refused to abide by the societal dress code or traveled alone. </w:t>
      </w:r>
    </w:p>
    <w:p w14:paraId="15833408"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provision, along with others that include concepts such as “immoral,” creates a legal entitlement that allows a perpetrator to decide whether a behavior of a woman could fit that category and, therefore, inflict violence as a “consequence of such.” In other words, concepts such as “immorality” open up the law for potential manipulation by the abuser to use against his victim. Furthermore, the inclusion of such actions in the criminal code in which a perpetrator will receive a lesser punishment creates a “an acts of a private actor empowered by the law” and still creates a legal obligation on states to exercise due diligence to investigate, prosecute, punish and provide reparations for violence against women committed by non-state, private actors.</w:t>
      </w:r>
      <w:r>
        <w:rPr>
          <w:rFonts w:ascii="Times New Roman" w:eastAsia="Times New Roman" w:hAnsi="Times New Roman" w:cs="Times New Roman"/>
          <w:sz w:val="24"/>
          <w:szCs w:val="24"/>
          <w:vertAlign w:val="superscript"/>
        </w:rPr>
        <w:footnoteReference w:id="13"/>
      </w:r>
    </w:p>
    <w:p w14:paraId="656FCB34"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sentencing, the law should also take into account the dynamics of domestic violence and victims’ use of self-defense and preemptive violence as a means of protecting themselves from further abuse. It is crucial that authorities, including the police, prosecutors, and judiciary, are trained in and mandated to conduct a predominant aggressor analysis. The International Association of Chiefs of Police (IACP) defines “predominant aggressor” as “the individual who poses the most serious, ongoing threat, which may not necessarily be the initial aggressor in a specific incident.”</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Reductions in sentencing should take into account circumstances that </w:t>
      </w:r>
      <w:r>
        <w:rPr>
          <w:rFonts w:ascii="Times New Roman" w:eastAsia="Times New Roman" w:hAnsi="Times New Roman" w:cs="Times New Roman"/>
          <w:sz w:val="24"/>
          <w:szCs w:val="24"/>
        </w:rPr>
        <w:lastRenderedPageBreak/>
        <w:t xml:space="preserve">explain why the offense was committed, such as women victims of domestic violence who use preemptive force against their abuser to prevent further violence. </w:t>
      </w:r>
    </w:p>
    <w:p w14:paraId="0CD381DB"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 it is required that “all [State] laws that constitute discrimination against women, including those which cause, promote or justify gender-based violence or perpetuate impunity for such acts, are to be repealed.”</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For those reasons, The Advocates recommends removing references to “immorality” and “of the victim” from the article.</w:t>
      </w:r>
    </w:p>
    <w:p w14:paraId="29295A9E" w14:textId="77777777" w:rsidR="00E25222" w:rsidRDefault="00E25222">
      <w:pPr>
        <w:spacing w:before="120" w:line="360" w:lineRule="auto"/>
        <w:rPr>
          <w:rFonts w:ascii="Times New Roman" w:eastAsia="Times New Roman" w:hAnsi="Times New Roman" w:cs="Times New Roman"/>
          <w:sz w:val="24"/>
          <w:szCs w:val="24"/>
        </w:rPr>
      </w:pPr>
    </w:p>
    <w:p w14:paraId="328631BF"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107: Intentional Infliction of Grievous Bodily Harm</w:t>
      </w:r>
    </w:p>
    <w:p w14:paraId="612F37C3"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Intentional infliction of serious bodily injury to a person, dangerous to life, or as a result of which the person lost sight, speech, hearing or any organ or caused the loss of functions of any organ, or expressed in permanent disfigurement of the person, as well as causing other harm health, life-threatening or causing a disorder associated with a persistent loss of general working capacity of at least one third or with a complete loss of professional working capacity, or resulting in termination of pregnancy, or mental illness is punishable by imprisonment for the term from three up to eight years..</w:t>
      </w:r>
      <w:r>
        <w:rPr>
          <w:rFonts w:ascii="Times New Roman" w:eastAsia="Times New Roman" w:hAnsi="Times New Roman" w:cs="Times New Roman"/>
          <w:sz w:val="24"/>
          <w:szCs w:val="24"/>
        </w:rPr>
        <w:t xml:space="preserve"> </w:t>
      </w:r>
    </w:p>
    <w:p w14:paraId="6B7B29B3"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108: Intentional Infliction of Harm to Health of Moderate Severity</w:t>
      </w:r>
    </w:p>
    <w:p w14:paraId="6EFBAD83" w14:textId="77777777" w:rsidR="00E25222" w:rsidRDefault="00920315">
      <w:pPr>
        <w:numPr>
          <w:ilvl w:val="0"/>
          <w:numId w:val="2"/>
        </w:numPr>
        <w:pBdr>
          <w:top w:val="nil"/>
          <w:left w:val="nil"/>
          <w:bottom w:val="nil"/>
          <w:right w:val="nil"/>
          <w:between w:val="nil"/>
        </w:pBdr>
        <w:spacing w:before="12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Intentional infliction of bodily injury or other harm to health, not life-threatening and not entailing the consequences provided for in article 107 of this Code, but causing long-term health disorder or significant permanent loss of general working capacity of less than one third is punishable by the penalty at a rate from twenty up to forty sizes of the established basic unit or compulsory works up to four hundred eighty hours or corrective works for the term up to two years or imprisonment for the term up to three years....</w:t>
      </w:r>
    </w:p>
    <w:p w14:paraId="483C7399"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109. Intentional infliction of grievous bodily harm in a state of passion</w:t>
      </w:r>
    </w:p>
    <w:p w14:paraId="522B9BE8" w14:textId="77777777" w:rsidR="00E25222" w:rsidRDefault="00920315">
      <w:pPr>
        <w:spacing w:before="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Intentional infliction of grievous bodily harm, committed in a state of sudden strong emotional disturbance (affect) caused by violence, mockery or grave insult on the part of the victim, or other illegal or immoral actions (inaction) of the victim, as well as a long-term psychologically traumatic situation that arose in connection with systematic illegal or immoral behavior of the </w:t>
      </w:r>
      <w:r>
        <w:rPr>
          <w:rFonts w:ascii="Times New Roman" w:eastAsia="Times New Roman" w:hAnsi="Times New Roman" w:cs="Times New Roman"/>
          <w:i/>
          <w:sz w:val="24"/>
          <w:szCs w:val="24"/>
        </w:rPr>
        <w:lastRenderedPageBreak/>
        <w:t>victim, shall be punished by a fine in the amount of twenty to thirty times the established base amount, or compulsory labor for up to four hundred eighty hours, or correctional labor for a term of up to two years, or imprisonment for a term of up to two years</w:t>
      </w:r>
      <w:r>
        <w:rPr>
          <w:rFonts w:ascii="Times New Roman" w:eastAsia="Times New Roman" w:hAnsi="Times New Roman" w:cs="Times New Roman"/>
          <w:sz w:val="24"/>
          <w:szCs w:val="24"/>
        </w:rPr>
        <w:t>.</w:t>
      </w:r>
    </w:p>
    <w:p w14:paraId="6E08FFA0"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111: Torture</w:t>
      </w:r>
    </w:p>
    <w:p w14:paraId="6A438FFD" w14:textId="77777777" w:rsidR="00E25222" w:rsidRDefault="00920315">
      <w:pPr>
        <w:numPr>
          <w:ilvl w:val="0"/>
          <w:numId w:val="1"/>
        </w:numPr>
        <w:pBdr>
          <w:top w:val="nil"/>
          <w:left w:val="nil"/>
          <w:bottom w:val="nil"/>
          <w:right w:val="nil"/>
          <w:between w:val="nil"/>
        </w:pBdr>
        <w:spacing w:before="120"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Infliction of physical or mental suffering through systematic beatings or other violent means, if this did not entail the consequences provided for in Articles 107 and 108 of this Code , is punishable by corrective works for the term up to two years or imprisonment for the term up to two years...</w:t>
      </w:r>
    </w:p>
    <w:p w14:paraId="3CF7C848" w14:textId="77777777" w:rsidR="00E25222" w:rsidRDefault="00920315">
      <w:pPr>
        <w:numPr>
          <w:ilvl w:val="0"/>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same acts committed:</w:t>
      </w:r>
    </w:p>
    <w:p w14:paraId="08CB572A"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relation to a woman who is known to the perpetrator to be pregnant;</w:t>
      </w:r>
    </w:p>
    <w:p w14:paraId="7BDB9409"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relation to a person or his/her relatives in connection with the fulfillment of his/her official or public duty;</w:t>
      </w:r>
    </w:p>
    <w:p w14:paraId="31CB1CCC"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relation to a minor or a person who was known to the perpetrator to be in a helpless state or in financial or other dependence on the perpetrator, as well as a person who was kidnapped or taken as a hostage;</w:t>
      </w:r>
    </w:p>
    <w:p w14:paraId="581C9DF1"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By two or more persons without prior agreement or by a group of persons by prior agreement;</w:t>
      </w:r>
    </w:p>
    <w:p w14:paraId="5CE40C9A"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relation to two or more persons;</w:t>
      </w:r>
    </w:p>
    <w:p w14:paraId="33C458EC"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By torture;</w:t>
      </w:r>
    </w:p>
    <w:p w14:paraId="0E941B92"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By hiring/ recruiting;</w:t>
      </w:r>
    </w:p>
    <w:p w14:paraId="62F26E9A" w14:textId="77777777" w:rsidR="00E25222" w:rsidRDefault="00920315">
      <w:pPr>
        <w:numPr>
          <w:ilvl w:val="1"/>
          <w:numId w:val="1"/>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On the basis of social, national, racial or religious hatred or enmity.</w:t>
      </w:r>
    </w:p>
    <w:p w14:paraId="0989FD7D" w14:textId="77777777" w:rsidR="00E25222" w:rsidRDefault="00920315" w:rsidP="003410FE">
      <w:pPr>
        <w:pBdr>
          <w:top w:val="nil"/>
          <w:left w:val="nil"/>
          <w:bottom w:val="nil"/>
          <w:right w:val="nil"/>
          <w:between w:val="nil"/>
        </w:pBdr>
        <w:spacing w:line="360" w:lineRule="auto"/>
        <w:ind w:left="720"/>
        <w:rPr>
          <w:rFonts w:ascii="Arial" w:eastAsia="Arial" w:hAnsi="Arial" w:cs="Arial"/>
          <w:color w:val="000000"/>
        </w:rPr>
      </w:pPr>
      <w:r>
        <w:rPr>
          <w:rFonts w:ascii="Times New Roman" w:eastAsia="Times New Roman" w:hAnsi="Times New Roman" w:cs="Times New Roman"/>
          <w:i/>
          <w:color w:val="000000"/>
          <w:sz w:val="24"/>
          <w:szCs w:val="24"/>
        </w:rPr>
        <w:t>is punishable by imprisonment for the term from three up to seven years</w:t>
      </w:r>
    </w:p>
    <w:p w14:paraId="0DCE5B56"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114: Threat of Murder or Grievous Bodily Harm</w:t>
      </w:r>
    </w:p>
    <w:p w14:paraId="4092AB30"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Threat of murder or infliction of grievous bodily harm, if there was reason to fear that this threat would be carried out...</w:t>
      </w:r>
    </w:p>
    <w:p w14:paraId="55BE2C13" w14:textId="4848C2CC"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Commentary: </w:t>
      </w:r>
      <w:r>
        <w:rPr>
          <w:rFonts w:ascii="Times New Roman" w:eastAsia="Times New Roman" w:hAnsi="Times New Roman" w:cs="Times New Roman"/>
          <w:sz w:val="24"/>
          <w:szCs w:val="24"/>
        </w:rPr>
        <w:t xml:space="preserve">The current provisions of Articles 107, 108, 109, 111, and 114 all establish a high bar for domestic violence victims. For victims to be protected under </w:t>
      </w:r>
      <w:r w:rsidR="00837C00">
        <w:rPr>
          <w:rFonts w:ascii="Times New Roman" w:eastAsia="Times New Roman" w:hAnsi="Times New Roman" w:cs="Times New Roman"/>
          <w:sz w:val="24"/>
          <w:szCs w:val="24"/>
        </w:rPr>
        <w:t xml:space="preserve">107, </w:t>
      </w:r>
      <w:r>
        <w:rPr>
          <w:rFonts w:ascii="Times New Roman" w:eastAsia="Times New Roman" w:hAnsi="Times New Roman" w:cs="Times New Roman"/>
          <w:sz w:val="24"/>
          <w:szCs w:val="24"/>
        </w:rPr>
        <w:t xml:space="preserve">108, 109, and 114 provisions, they are required to endure injuries that leave traces on the body and that are documented. Such circumstances are not always typical in domestic violence, as perpetrators </w:t>
      </w:r>
      <w:r>
        <w:rPr>
          <w:rFonts w:ascii="Times New Roman" w:eastAsia="Times New Roman" w:hAnsi="Times New Roman" w:cs="Times New Roman"/>
          <w:sz w:val="24"/>
          <w:szCs w:val="24"/>
        </w:rPr>
        <w:lastRenderedPageBreak/>
        <w:t xml:space="preserve">commonly inflict injuries that do not create bodily </w:t>
      </w:r>
      <w:r>
        <w:rPr>
          <w:rFonts w:ascii="Times New Roman" w:eastAsia="Times New Roman" w:hAnsi="Times New Roman" w:cs="Times New Roman"/>
          <w:b/>
          <w:sz w:val="24"/>
          <w:szCs w:val="24"/>
        </w:rPr>
        <w:t>harm</w:t>
      </w:r>
      <w:r>
        <w:rPr>
          <w:rFonts w:ascii="Times New Roman" w:eastAsia="Times New Roman" w:hAnsi="Times New Roman" w:cs="Times New Roman"/>
          <w:b/>
          <w:sz w:val="24"/>
          <w:szCs w:val="24"/>
          <w:vertAlign w:val="superscript"/>
        </w:rPr>
        <w:footnoteReference w:id="16"/>
      </w:r>
      <w:r>
        <w:rPr>
          <w:rFonts w:ascii="Times New Roman" w:eastAsia="Times New Roman" w:hAnsi="Times New Roman" w:cs="Times New Roman"/>
          <w:b/>
          <w:sz w:val="24"/>
          <w:szCs w:val="24"/>
        </w:rPr>
        <w:t xml:space="preserve"> (including grievous</w:t>
      </w:r>
      <w:r>
        <w:rPr>
          <w:rFonts w:ascii="Times New Roman" w:eastAsia="Times New Roman" w:hAnsi="Times New Roman" w:cs="Times New Roman"/>
          <w:b/>
          <w:sz w:val="24"/>
          <w:szCs w:val="24"/>
          <w:vertAlign w:val="superscript"/>
        </w:rPr>
        <w:footnoteReference w:id="17"/>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i.e. leave discernible injury, or use other tactics of power and control to exert domestic violence over the victim. For example, injuries caused by strangulation may not be visible externally, or authorities may not be trained in identifying the indicators when strangulation has occurred and overlook the bodily harm. Coercive control may leave no physical injury. While there may not be tangible evidence in those examples, the harm to the victim is the same. Also, injury-based provisions exclude long-term violence. In addition, injury-based provisions will exclude injuries for which the victim was unable to secure documentation, and multiple factors – such as documentation fees, distance to a forensic doctor, operating hours, and stigma –may all serve as barriers to the victim accessing the requisite evidence to prove injury. </w:t>
      </w:r>
    </w:p>
    <w:p w14:paraId="7BADB45C" w14:textId="0C3DDF95"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Advocates recommends altering the language of the various articles to lower the bar to more accurately reflect the dynamics of domestic violence. Changes should include removing “serious” and “grievous”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wherever it appears and “significant”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or “permanent”</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when it refers to loss of working capacity in Articles 107 and 108. In Article 107 in particular, The Advocates recommends removing “serious,” “permanent,” and “persistent”</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so that the provision may be more applicable in instances of domestic violence. The Advocates recommends amending Article 109 in a way that reflects our commentary to Article 102 concerning immorality and sentence reductions. </w:t>
      </w:r>
    </w:p>
    <w:p w14:paraId="51ED16FF"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Advocates recommends assessing Article 111 through a gender lens by amending and/or supplementing this provision with behaviors that could constitute torture. CEDAW has established “Gender-based violence against women may amount to torture or cruel, inhuman or degrading treatment in certain circumstances, including in cases of rape, domestic violence or harmful practices.”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Likewise, behaviors that are systematically inflicted on individuals and that commonly are gendered with women and girls as the primary victims/survivors, such as </w:t>
      </w:r>
      <w:r>
        <w:rPr>
          <w:rFonts w:ascii="Times New Roman" w:eastAsia="Times New Roman" w:hAnsi="Times New Roman" w:cs="Times New Roman"/>
          <w:sz w:val="24"/>
          <w:szCs w:val="24"/>
        </w:rPr>
        <w:lastRenderedPageBreak/>
        <w:t xml:space="preserve">“stalking,” which includes patterns of harassing or threatening behaviors and can create immense emotional harm to individuals can be considered torturous. When evaluating these potential conducts and their inclusion as potential crimes, it is essential to include the digital dynamics that surround this kind of behavior, as perpetrators in abusive relationships, including former partners, utilize digital technology to monitor, threaten, and commit violence, which can involve tracking devices and the unauthorized disclosure of personal and identifiable information. </w:t>
      </w:r>
      <w:r>
        <w:rPr>
          <w:rFonts w:ascii="Times New Roman" w:eastAsia="Times New Roman" w:hAnsi="Times New Roman" w:cs="Times New Roman"/>
          <w:sz w:val="24"/>
          <w:szCs w:val="24"/>
          <w:vertAlign w:val="superscript"/>
        </w:rPr>
        <w:footnoteReference w:id="23"/>
      </w:r>
    </w:p>
    <w:p w14:paraId="0F980BEE"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law should clearly state that in cases of domestic violence, medical or forensic evidence is not required for convictions.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The law should ensure that sentences for domestic violence-related crimes are commensurate with the seriousness of crimes of violence against women.</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w:t>
      </w:r>
    </w:p>
    <w:p w14:paraId="570E7463"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Advocates recommends creating the separate, specific domestic violence law outlined in the first few pages of this commentary. Such a law should specify that penalties for crimes involving domestic violence are more severe than similar non-domestic violence-related crimes. This sends the important message that the state will treat a domestic violence crime as seriously, if not more seriously, than a crime against a stranger.</w:t>
      </w:r>
      <w:r>
        <w:rPr>
          <w:rFonts w:ascii="Times New Roman" w:eastAsia="Times New Roman" w:hAnsi="Times New Roman" w:cs="Times New Roman"/>
          <w:sz w:val="24"/>
          <w:szCs w:val="24"/>
          <w:vertAlign w:val="superscript"/>
        </w:rPr>
        <w:footnoteReference w:id="26"/>
      </w:r>
    </w:p>
    <w:p w14:paraId="6093EC61" w14:textId="77777777" w:rsidR="00E25222" w:rsidRDefault="00E25222">
      <w:pPr>
        <w:spacing w:before="120" w:line="360" w:lineRule="auto"/>
        <w:rPr>
          <w:rFonts w:ascii="Times New Roman" w:eastAsia="Times New Roman" w:hAnsi="Times New Roman" w:cs="Times New Roman"/>
          <w:sz w:val="24"/>
          <w:szCs w:val="24"/>
        </w:rPr>
      </w:pPr>
    </w:p>
    <w:p w14:paraId="25E02D17"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132: Rape</w:t>
      </w:r>
    </w:p>
    <w:p w14:paraId="242E9BC1" w14:textId="77777777" w:rsidR="00E25222" w:rsidRDefault="00920315">
      <w:pPr>
        <w:numPr>
          <w:ilvl w:val="0"/>
          <w:numId w:val="12"/>
        </w:numPr>
        <w:pBdr>
          <w:top w:val="nil"/>
          <w:left w:val="nil"/>
          <w:bottom w:val="nil"/>
          <w:right w:val="nil"/>
          <w:between w:val="nil"/>
        </w:pBdr>
        <w:spacing w:before="12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Rape, that is, sexual intercourse with the use of physical violence or the threat of its use, as well as taking advantage of the helpless state of the victim...</w:t>
      </w:r>
    </w:p>
    <w:p w14:paraId="2B1A1122"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Commentary:</w:t>
      </w:r>
    </w:p>
    <w:p w14:paraId="22100CE9"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 132 currently defines rape as sexual intercourse with the use of physical violence, threat of violence, or taking advantage of the helpless state of the victim. The law, as it currently </w:t>
      </w:r>
      <w:r>
        <w:rPr>
          <w:rFonts w:ascii="Times New Roman" w:eastAsia="Times New Roman" w:hAnsi="Times New Roman" w:cs="Times New Roman"/>
          <w:sz w:val="24"/>
          <w:szCs w:val="24"/>
        </w:rPr>
        <w:lastRenderedPageBreak/>
        <w:t>stands, does not allow for criminalization in instances where the victim did not, or could not, consent to the acts. The law also contains a vague definition of sexual intercourse. Finally, the law does not allow for instances of marital rape.</w:t>
      </w:r>
    </w:p>
    <w:p w14:paraId="5CCC0C07"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both the </w:t>
      </w:r>
      <w:r>
        <w:rPr>
          <w:rFonts w:ascii="Times New Roman" w:eastAsia="Times New Roman" w:hAnsi="Times New Roman" w:cs="Times New Roman"/>
          <w:i/>
          <w:sz w:val="24"/>
          <w:szCs w:val="24"/>
        </w:rPr>
        <w:t>Framework for legislation on rape</w:t>
      </w:r>
      <w:r>
        <w:rPr>
          <w:rFonts w:ascii="Times New Roman" w:eastAsia="Times New Roman" w:hAnsi="Times New Roman" w:cs="Times New Roman"/>
          <w:sz w:val="24"/>
          <w:szCs w:val="24"/>
        </w:rPr>
        <w:t xml:space="preserve">, a model legislative rape framework created by the UN Special Rapporteur on violence against women, and CEDAW General Recommendation 35, best practices call for a definition of sexual crimes based on the lack of freely given consent and that takes into account coercive circumstances. This includes a definition of consent, instances in which consent may not be inferred, and the instances in which lack of consent may be presumed. This standard is set forth in several international instruments, including article 36 of the Istanbul Convention. </w:t>
      </w:r>
    </w:p>
    <w:p w14:paraId="1AF64A07"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Often, laws that neglect the inclusion of consent require evidence that the perpetrator used coercion or that the victim fought back. Most rapes do not involve heavy physical force, and the majority of victims report that they were afraid of receiving serious injuries or of being killed and so offered little resistance to the attack. This may also explain why little force or weapons are needed to subdue victims in a rape attack. Moreover, sexual assault is a trauma that can cause the body to activate defensive strategies, such as freezing or appeasing the attacker. The freeze response is called “tonic-immobility” and is triggered by a flood of hormones that activate in response to a threat. There are many reasons why victims may not physically resist. When laws require proof of coercion or victim resistance, the burden of proof lands on the victim, who is then forced to relive the traumatic incidents and prove what is not reflective of the actual dynamics of rape. These laws also often neglect incidents in which there is limited physical evidence or threats of violence. </w:t>
      </w:r>
    </w:p>
    <w:p w14:paraId="7582AE14" w14:textId="77777777" w:rsidR="00E25222" w:rsidRDefault="00920315">
      <w:pPr>
        <w:spacing w:before="12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Advocates recommends adding in “non-consensual” before “sexual intercourse” to ensure the Article is consent-based and is in line with international standards. Alternatively, the definition of rape could include when a perpetrator has sexual intercourse with a person who is not participating freely. The Advocates also recommends adding language stating that consent must be genuine, given of free will and not coercion, and may be withdrawn at any time. Consent may not be inferred by the silence of the victim or any non-resistance. In addition, the law should specifically criminalize sexual assault within a relationship (i.e., “marital rape”), either by: ensuring that rape provisions apply “regardless of the nature of the relationship” between the </w:t>
      </w:r>
      <w:r>
        <w:rPr>
          <w:rFonts w:ascii="Times New Roman" w:eastAsia="Times New Roman" w:hAnsi="Times New Roman" w:cs="Times New Roman"/>
          <w:color w:val="000000"/>
          <w:sz w:val="24"/>
          <w:szCs w:val="24"/>
        </w:rPr>
        <w:lastRenderedPageBreak/>
        <w:t>perpetrator and complainant; or by stating “no marriage or other relationship shall constitute a defense to a charge of sexual assault under the legislation.”</w:t>
      </w:r>
      <w:r>
        <w:rPr>
          <w:rFonts w:ascii="Times New Roman" w:eastAsia="Times New Roman" w:hAnsi="Times New Roman" w:cs="Times New Roman"/>
          <w:color w:val="000000"/>
          <w:sz w:val="24"/>
          <w:szCs w:val="24"/>
          <w:vertAlign w:val="superscript"/>
        </w:rPr>
        <w:footnoteReference w:id="27"/>
      </w:r>
    </w:p>
    <w:p w14:paraId="315D36AB" w14:textId="77777777" w:rsidR="00E25222" w:rsidRDefault="00E25222">
      <w:pPr>
        <w:spacing w:before="120" w:line="360" w:lineRule="auto"/>
        <w:rPr>
          <w:rFonts w:ascii="Times New Roman" w:eastAsia="Times New Roman" w:hAnsi="Times New Roman" w:cs="Times New Roman"/>
          <w:sz w:val="24"/>
          <w:szCs w:val="24"/>
        </w:rPr>
      </w:pPr>
    </w:p>
    <w:p w14:paraId="60070C45"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135: Forcing a person to have sexual intercourse</w:t>
      </w:r>
    </w:p>
    <w:p w14:paraId="096E9E38"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Forcing a person to have sexual intercourse, sodomy or to commit other acts of a sexual nature at the place of work or another place by means of blackmail, threats of destruction of property or using financial or other dependence.</w:t>
      </w:r>
    </w:p>
    <w:p w14:paraId="73B87413"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Commentary:</w:t>
      </w:r>
    </w:p>
    <w:p w14:paraId="064A03C7"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Article 135, as it currently stands, remains vague in its definition of rape and fails to address lack of consent. Under the Framework for legislation on rape (model rape law) published by the UN Special Rapporteur on Violence against Women, the recommended best practices for drafting legislation on rape involves a definition of rape that includes “A person (the perpetrator) commits rape when they: (a) engage in non-consensual vaginal, anal or oral penetration of a sexual nature, however slight, of the body of another person (the victim) by any bodily part or object; or (b) cause non-consensual vaginal, anal or oral penetration of a sexual nature, however slight, of the body of another person (the victim) by a third person; or (c) cause the victim to engage in the non-consensual vaginal, anal or oral penetration of a sexual nature, however slight, of the body of the perpetrator or another person.”</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As mentioned previously, it is best practice to ensure definitions of sexual crimes are based on the lack of freely given consent and take into account coercive circumstances.</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This includes a definition of consent, instances in which consent may not be inferred, and instances in which lack of consent may be presumed.</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This model of legislation has been cited in international regional standards such as the Istanbul Convention, which prescribes “Consent must be given voluntarily as the result of the person’s </w:t>
      </w:r>
      <w:r>
        <w:rPr>
          <w:rFonts w:ascii="Times New Roman" w:eastAsia="Times New Roman" w:hAnsi="Times New Roman" w:cs="Times New Roman"/>
          <w:sz w:val="24"/>
          <w:szCs w:val="24"/>
        </w:rPr>
        <w:lastRenderedPageBreak/>
        <w:t>free will assessed in the context of the surrounding circumstances.”</w:t>
      </w:r>
      <w:r>
        <w:rPr>
          <w:vertAlign w:val="superscript"/>
        </w:rPr>
        <w:footnoteReference w:id="31"/>
      </w:r>
      <w:r>
        <w:rPr>
          <w:rFonts w:ascii="Times New Roman" w:eastAsia="Times New Roman" w:hAnsi="Times New Roman" w:cs="Times New Roman"/>
          <w:sz w:val="24"/>
          <w:szCs w:val="24"/>
        </w:rPr>
        <w:t xml:space="preserve"> The Model Rape Law similarly states “Rape is an act of sexual nature committed without consent. Definitions of rape should explicitly include lack of consent and place it at its </w:t>
      </w:r>
      <w:proofErr w:type="spellStart"/>
      <w:r>
        <w:rPr>
          <w:rFonts w:ascii="Times New Roman" w:eastAsia="Times New Roman" w:hAnsi="Times New Roman" w:cs="Times New Roman"/>
          <w:sz w:val="24"/>
          <w:szCs w:val="24"/>
        </w:rPr>
        <w:t>centre</w:t>
      </w:r>
      <w:proofErr w:type="spellEnd"/>
      <w:r>
        <w:rPr>
          <w:rFonts w:ascii="Times New Roman" w:eastAsia="Times New Roman" w:hAnsi="Times New Roman" w:cs="Times New Roman"/>
          <w:sz w:val="24"/>
          <w:szCs w:val="24"/>
        </w:rPr>
        <w:t>, stipulating that rape is any act of sexual penetration of a sexual nature by whatever means committed against a person who has not given consent” and that “[c]</w:t>
      </w:r>
      <w:proofErr w:type="spellStart"/>
      <w:r>
        <w:rPr>
          <w:rFonts w:ascii="Times New Roman" w:eastAsia="Times New Roman" w:hAnsi="Times New Roman" w:cs="Times New Roman"/>
          <w:sz w:val="24"/>
          <w:szCs w:val="24"/>
        </w:rPr>
        <w:t>onsent</w:t>
      </w:r>
      <w:proofErr w:type="spellEnd"/>
      <w:r>
        <w:rPr>
          <w:rFonts w:ascii="Times New Roman" w:eastAsia="Times New Roman" w:hAnsi="Times New Roman" w:cs="Times New Roman"/>
          <w:sz w:val="24"/>
          <w:szCs w:val="24"/>
        </w:rPr>
        <w:t xml:space="preserve"> must be given voluntarily as the result of the person’s free will assessed in the context of the surrounding circumstances.”</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Expanding the definition of rape would provide prosecutors and judges more direction as they argue and determine cases involving sex crimes. The vagueness of the current legislation allows much to be interpreted, which can lead to inconsistencies in the application of the law and how perpetrators are sentenced. </w:t>
      </w:r>
    </w:p>
    <w:p w14:paraId="607F9AF8"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Advocates recommends modifying Article 135 of the Criminal Code to address consent, or lack thereof, along with a more specific definition of what constitutes rape based on the UN Special Rapporteur on Violence against Women’s 2021 framework for legislation on rape (Model Rape Law).</w:t>
      </w:r>
      <w:r>
        <w:rPr>
          <w:rFonts w:ascii="Times New Roman" w:eastAsia="Times New Roman" w:hAnsi="Times New Roman" w:cs="Times New Roman"/>
          <w:sz w:val="24"/>
          <w:szCs w:val="24"/>
          <w:vertAlign w:val="superscript"/>
        </w:rPr>
        <w:footnoteReference w:id="33"/>
      </w:r>
    </w:p>
    <w:p w14:paraId="1A690658"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Advocates recommends expanding upon the concept of committing other acts of sexual nature to include all forms of criminal sexual conduct. Such acts would include the intentional touching of the victim’s intimate parts by the defendant or another without their consent, particularly if the victim is under the age of consent, is mentally impaired, or if there is coercion. This may include the touching of the victim’s intimate parts, the touching of the clothing covering those parts of the victim, and the touching of the victim’s intimate parts by another’s intimate parts.</w:t>
      </w:r>
      <w:r>
        <w:rPr>
          <w:rFonts w:ascii="Times New Roman" w:eastAsia="Times New Roman" w:hAnsi="Times New Roman" w:cs="Times New Roman"/>
          <w:sz w:val="24"/>
          <w:szCs w:val="24"/>
          <w:vertAlign w:val="superscript"/>
        </w:rPr>
        <w:footnoteReference w:id="34"/>
      </w:r>
    </w:p>
    <w:p w14:paraId="4A25272C" w14:textId="77777777" w:rsidR="00E25222" w:rsidRDefault="00920315">
      <w:pPr>
        <w:spacing w:before="120" w:line="36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Specific Comments on Existing Provisions of Turkmenistan’s Administrative Code</w:t>
      </w:r>
    </w:p>
    <w:p w14:paraId="0E5CAE96"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provide commentaries on the current provisions of the Administrative Code that are applicable or impact the access to justice of individuals enduring domestic </w:t>
      </w:r>
      <w:r>
        <w:rPr>
          <w:rFonts w:ascii="Times New Roman" w:eastAsia="Times New Roman" w:hAnsi="Times New Roman" w:cs="Times New Roman"/>
          <w:sz w:val="24"/>
          <w:szCs w:val="24"/>
        </w:rPr>
        <w:lastRenderedPageBreak/>
        <w:t>violence. The Advocates commends the current legislation but recognizes the benefits of re-evaluating and improving legislation to ensure victim safety.</w:t>
      </w:r>
    </w:p>
    <w:p w14:paraId="14A25DAD" w14:textId="77777777" w:rsidR="00E25222" w:rsidRDefault="00E25222">
      <w:pPr>
        <w:spacing w:before="120" w:line="360" w:lineRule="auto"/>
        <w:ind w:firstLine="720"/>
        <w:rPr>
          <w:rFonts w:ascii="Times New Roman" w:eastAsia="Times New Roman" w:hAnsi="Times New Roman" w:cs="Times New Roman"/>
          <w:sz w:val="24"/>
          <w:szCs w:val="24"/>
        </w:rPr>
      </w:pPr>
    </w:p>
    <w:p w14:paraId="33F07DA1"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43: Warning</w:t>
      </w:r>
    </w:p>
    <w:p w14:paraId="2C1063C7"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 warning as a type of administrative penalty is a measure of official reminder to individuals and legal entities about the inadmissibility of unlawful actions. A warning is issued in writing, but if the administrative offense committed is insignificant, as well as in cases provided for by this Code, it can also be issued orally.</w:t>
      </w:r>
    </w:p>
    <w:p w14:paraId="0BD09E6A"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Commentary:</w:t>
      </w:r>
    </w:p>
    <w:p w14:paraId="5D5A092B"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Warnings contradict the message of zero tolerance for domestic violence and offer offenders a “second chance” instead of promoting accountability. This presents a significant risk of danger to victims. Instead, language on police powers should focus instead on a probable cause of arrest standard and pro-prosecution policy. A probable cause standard of arrest allows police to arrest and detain an offender if they determine that there is probable cause a crime has occurred even if they did not witness the offence. A pro-prosecution policy should be adopted in cases where there is probable cause that domestic violence occurred to ensure that the violence is treated seriously by police and prosecuting authorities.</w:t>
      </w:r>
    </w:p>
    <w:p w14:paraId="621EAD75"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Government officials should act immediately upon reports of domestic violence whether through criminal sanctions or through the issuance of preventive measures to hold the offender accountable and to keep the victim safe. The code should communicate a zero tolerance for violence message to the public. As such, The Advocates recommends clarifying this article does not apply to cases of domestic abuse, as it is inadequate in its attempt to deter further violence and will only communicate a message of impunity and tolerance for domestic violence. </w:t>
      </w:r>
      <w:r>
        <w:rPr>
          <w:rFonts w:ascii="Times New Roman" w:eastAsia="Times New Roman" w:hAnsi="Times New Roman" w:cs="Times New Roman"/>
          <w:sz w:val="24"/>
          <w:szCs w:val="24"/>
        </w:rPr>
        <w:t xml:space="preserve"> </w:t>
      </w:r>
    </w:p>
    <w:p w14:paraId="4DF13E7D" w14:textId="77777777" w:rsidR="00E25222" w:rsidRDefault="00920315">
      <w:pPr>
        <w:spacing w:before="12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Specific Comments on Existing Provisions of Turkmenistan’s Criminal Procedural Code</w:t>
      </w:r>
    </w:p>
    <w:p w14:paraId="3AF72B36" w14:textId="77777777" w:rsidR="00E25222" w:rsidRDefault="00920315">
      <w:pPr>
        <w:spacing w:before="120" w:line="36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section, we provide commentaries on the current provisions of the Criminal Procedure Code that impact access to justice of individuals enduring domestic violence. We note the authority under the Criminal Procedural Code Article 213 subd. 3 stating, “[T]he prosecutor has the right to initiate a case of rape without a complaint from the victim if, due to her physical or </w:t>
      </w:r>
      <w:r>
        <w:rPr>
          <w:rFonts w:ascii="Times New Roman" w:eastAsia="Times New Roman" w:hAnsi="Times New Roman" w:cs="Times New Roman"/>
          <w:sz w:val="24"/>
          <w:szCs w:val="24"/>
        </w:rPr>
        <w:lastRenderedPageBreak/>
        <w:t xml:space="preserve">mental disabilities, she cannot defend her rights herself.” We also note that under the Criminal Procedural Code Article 213 subd. 4, a prosecutor may initiate a case of rape even in the absence of a complaint from the victim if there is “dependence on the accused or for other reasons [the victim] is unable to protect their rights and legitimate interests.” We urge the state to reform both of these provisions to mandate that prosecutors initiate a case of rape whenever there is probable cause that the crime of rape has occurred, irrespective of the victim’s physical or mental capabilities or dependence on the accused. We encourage the expansion of prosecutors’ </w:t>
      </w:r>
      <w:r>
        <w:rPr>
          <w:rFonts w:ascii="Times New Roman" w:eastAsia="Times New Roman" w:hAnsi="Times New Roman" w:cs="Times New Roman"/>
          <w:i/>
          <w:sz w:val="24"/>
          <w:szCs w:val="24"/>
        </w:rPr>
        <w:t>ex officio</w:t>
      </w:r>
      <w:r>
        <w:rPr>
          <w:rFonts w:ascii="Times New Roman" w:eastAsia="Times New Roman" w:hAnsi="Times New Roman" w:cs="Times New Roman"/>
          <w:sz w:val="24"/>
          <w:szCs w:val="24"/>
        </w:rPr>
        <w:t xml:space="preserve"> authority to initiate and prosecute cases of domestic violence, as well.</w:t>
      </w:r>
    </w:p>
    <w:p w14:paraId="37417C60" w14:textId="77777777" w:rsidR="00E25222" w:rsidRDefault="00E25222">
      <w:pPr>
        <w:spacing w:before="120" w:line="360" w:lineRule="auto"/>
        <w:jc w:val="center"/>
        <w:rPr>
          <w:rFonts w:ascii="Times New Roman" w:eastAsia="Times New Roman" w:hAnsi="Times New Roman" w:cs="Times New Roman"/>
          <w:b/>
          <w:sz w:val="24"/>
          <w:szCs w:val="24"/>
        </w:rPr>
      </w:pPr>
    </w:p>
    <w:p w14:paraId="664D4CD5"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31: Circumstances excluding criminal prosecution</w:t>
      </w:r>
    </w:p>
    <w:p w14:paraId="3E897F0A" w14:textId="77777777" w:rsidR="00E25222" w:rsidRDefault="00920315">
      <w:pPr>
        <w:numPr>
          <w:ilvl w:val="0"/>
          <w:numId w:val="11"/>
        </w:numPr>
        <w:pBdr>
          <w:top w:val="nil"/>
          <w:left w:val="nil"/>
          <w:bottom w:val="nil"/>
          <w:right w:val="nil"/>
          <w:between w:val="nil"/>
        </w:pBdr>
        <w:spacing w:before="12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the following cases, a criminal case cannot be initiated, and the initiated case is subject to termination:</w:t>
      </w:r>
    </w:p>
    <w:p w14:paraId="3BDB7F8B" w14:textId="77777777" w:rsidR="00E25222" w:rsidRDefault="00920315">
      <w:pPr>
        <w:spacing w:before="120"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6) for the reconciliation of the victim with the accused in cases initiated only on the basis </w:t>
      </w:r>
      <w:r>
        <w:tab/>
      </w:r>
      <w:r>
        <w:tab/>
      </w:r>
      <w:r>
        <w:rPr>
          <w:rFonts w:ascii="Times New Roman" w:eastAsia="Times New Roman" w:hAnsi="Times New Roman" w:cs="Times New Roman"/>
          <w:i/>
          <w:sz w:val="24"/>
          <w:szCs w:val="24"/>
        </w:rPr>
        <w:t xml:space="preserve">of a complaint from the victim, except for the cases provided for in </w:t>
      </w:r>
      <w:r>
        <w:tab/>
      </w:r>
      <w:r>
        <w:tab/>
      </w:r>
      <w:r>
        <w:tab/>
      </w:r>
      <w:r>
        <w:tab/>
      </w:r>
      <w:r>
        <w:rPr>
          <w:rFonts w:ascii="Times New Roman" w:eastAsia="Times New Roman" w:hAnsi="Times New Roman" w:cs="Times New Roman"/>
          <w:i/>
          <w:sz w:val="24"/>
          <w:szCs w:val="24"/>
        </w:rPr>
        <w:t>parts two, three and four of Article 213 of this Code.</w:t>
      </w:r>
    </w:p>
    <w:p w14:paraId="6EB8DA53" w14:textId="77777777" w:rsidR="00E25222" w:rsidRDefault="00920315">
      <w:pPr>
        <w:spacing w:before="12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i/>
          <w:sz w:val="24"/>
          <w:szCs w:val="24"/>
        </w:rPr>
        <w:t xml:space="preserve">7) in the absence of a complaint from the victim, the case can be initiated only on his </w:t>
      </w:r>
      <w:r>
        <w:tab/>
      </w:r>
      <w:r>
        <w:tab/>
      </w:r>
      <w:r>
        <w:rPr>
          <w:rFonts w:ascii="Times New Roman" w:eastAsia="Times New Roman" w:hAnsi="Times New Roman" w:cs="Times New Roman"/>
          <w:i/>
          <w:sz w:val="24"/>
          <w:szCs w:val="24"/>
        </w:rPr>
        <w:t xml:space="preserve">complaint, except for the cases provided for in part four of Article 213 of this </w:t>
      </w:r>
      <w:r>
        <w:tab/>
      </w:r>
      <w:r>
        <w:tab/>
      </w:r>
      <w:r>
        <w:rPr>
          <w:rFonts w:ascii="Times New Roman" w:eastAsia="Times New Roman" w:hAnsi="Times New Roman" w:cs="Times New Roman"/>
          <w:i/>
          <w:sz w:val="24"/>
          <w:szCs w:val="24"/>
        </w:rPr>
        <w:t xml:space="preserve">Code, when the prosecutor is given the right to initiate cases even in the absence </w:t>
      </w:r>
      <w:r>
        <w:tab/>
      </w:r>
      <w:r>
        <w:tab/>
      </w:r>
      <w:r>
        <w:rPr>
          <w:rFonts w:ascii="Times New Roman" w:eastAsia="Times New Roman" w:hAnsi="Times New Roman" w:cs="Times New Roman"/>
          <w:i/>
          <w:sz w:val="24"/>
          <w:szCs w:val="24"/>
        </w:rPr>
        <w:t>of a complaint from the victim</w:t>
      </w:r>
      <w:r>
        <w:rPr>
          <w:rFonts w:ascii="Times New Roman" w:eastAsia="Times New Roman" w:hAnsi="Times New Roman" w:cs="Times New Roman"/>
          <w:b/>
          <w:sz w:val="24"/>
          <w:szCs w:val="24"/>
        </w:rPr>
        <w:t xml:space="preserve"> </w:t>
      </w:r>
    </w:p>
    <w:p w14:paraId="449C9265" w14:textId="77777777" w:rsidR="00E25222" w:rsidRDefault="00E25222">
      <w:pPr>
        <w:spacing w:before="120" w:line="360" w:lineRule="auto"/>
        <w:rPr>
          <w:rFonts w:ascii="Times New Roman" w:eastAsia="Times New Roman" w:hAnsi="Times New Roman" w:cs="Times New Roman"/>
          <w:b/>
          <w:sz w:val="24"/>
          <w:szCs w:val="24"/>
        </w:rPr>
      </w:pPr>
    </w:p>
    <w:p w14:paraId="45A90A6D"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33: Grounds for termination of a criminal case</w:t>
      </w:r>
    </w:p>
    <w:p w14:paraId="0101DA5B"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1.1 If the public prosecutor withdraws charges against the defendant for crimes of minor and medium gravity on the grounds specified in paragraphs one and two of part one of Article 31 of this Code, if the defendant is not involved in the commission of the act that he is accused of, and also if the victim refuses the accusation; and also in accordance with paragraph six of part one of Article 31 of this Code for the reconciliation of the victim with the accused.</w:t>
      </w:r>
    </w:p>
    <w:p w14:paraId="3F2297F8"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Commentary:</w:t>
      </w:r>
    </w:p>
    <w:p w14:paraId="2D2CE6CE"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Article 31 of the Criminal Procedural Code currently does not apply to Articles 107, 108, 109, 111, and 114 of the Criminal Code, all of which may be applicable in instances of domestic violence. Under these articles, prosecution of these crimes will only proceed upon complaint from the victim. Victims may have many valid reasons for not initiating a complaint, including stigma, a perception the justice system will be ineffective, socio-economic and cultural pressures, and fears of further harm from the perpetrator. Article 33 also relies on the cooperation of the victim in order to proceed with prosecution of a case. Many victims may choose to recant or refuse to provide testimony out of fear of the perpetrator or others. Data shows that victim recantation may occur in approximately 80 percent of criminal domestic violence cases.</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Refraining from pursuing these cases, even without victim cooperation, would mean many cases would remain unprosecuted, decreasing the effectiveness of the laws and preventative measures. </w:t>
      </w:r>
    </w:p>
    <w:p w14:paraId="2E9F2662" w14:textId="77777777" w:rsidR="00E25222" w:rsidRDefault="00920315">
      <w:pPr>
        <w:spacing w:before="120"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Reconciliation of the parties should neither trigger termination of (Art. 31(1)(1) nor bar criminal proceedings (Art. 31(1)(6)) in violence against women cases. Reconciliation—and therefore a bar to or termination of prosecution – removes a domestic violence case from public view and objective judicial scrutiny, and it fails to communicate a zero-tolerance message for domestic violence. If a prosecutor should terminate a case of violence against women, the law or protocols should mandate that prosecutor explain to the victim the reasons why the case was dropped.  </w:t>
      </w:r>
    </w:p>
    <w:p w14:paraId="2A904443" w14:textId="77777777" w:rsidR="00E25222" w:rsidRDefault="00920315">
      <w:pPr>
        <w:spacing w:before="120"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Instead, laws should call for a pro-prosecution policy in cases of violence against women where there is probable cause to believe a crime has happened.</w:t>
      </w:r>
      <w:r>
        <w:rPr>
          <w:rFonts w:ascii="Times New Roman" w:eastAsia="Times New Roman" w:hAnsi="Times New Roman" w:cs="Times New Roman"/>
          <w:color w:val="000000"/>
          <w:sz w:val="24"/>
          <w:szCs w:val="24"/>
          <w:vertAlign w:val="superscript"/>
        </w:rPr>
        <w:footnoteReference w:id="36"/>
      </w:r>
      <w:r>
        <w:rPr>
          <w:rFonts w:ascii="Times New Roman" w:eastAsia="Times New Roman" w:hAnsi="Times New Roman" w:cs="Times New Roman"/>
          <w:color w:val="000000"/>
          <w:sz w:val="24"/>
          <w:szCs w:val="24"/>
        </w:rPr>
        <w:t xml:space="preserve"> Specifically, legislation should reinforce that law enforcement and prosecutors are obligated to pursue all cases of domestic violence, including assaults resulting in low-level injuries such as bruises, cuts, scrapes, and burns, regardless of whether the victim cooperates.</w:t>
      </w:r>
      <w:r>
        <w:rPr>
          <w:rFonts w:ascii="Times New Roman" w:eastAsia="Times New Roman" w:hAnsi="Times New Roman" w:cs="Times New Roman"/>
          <w:color w:val="000000"/>
          <w:sz w:val="24"/>
          <w:szCs w:val="24"/>
          <w:vertAlign w:val="superscript"/>
        </w:rPr>
        <w:footnoteReference w:id="37"/>
      </w:r>
      <w:r>
        <w:rPr>
          <w:rFonts w:ascii="Times New Roman" w:eastAsia="Times New Roman" w:hAnsi="Times New Roman" w:cs="Times New Roman"/>
          <w:color w:val="000000"/>
          <w:sz w:val="24"/>
          <w:szCs w:val="24"/>
        </w:rPr>
        <w:t xml:space="preserve"> Many cases can be prosecuted without victim cooperation, using victim-absent prosecution or evidence-based prosecution. It is </w:t>
      </w:r>
      <w:r>
        <w:rPr>
          <w:rFonts w:ascii="Times New Roman" w:eastAsia="Times New Roman" w:hAnsi="Times New Roman" w:cs="Times New Roman"/>
          <w:color w:val="000000"/>
          <w:sz w:val="24"/>
          <w:szCs w:val="24"/>
        </w:rPr>
        <w:lastRenderedPageBreak/>
        <w:t xml:space="preserve">important to provide training to both law enforcement and prosecutors to ensure that the best practices are implemented to maximize the possibility of holding offenders accountable. </w:t>
      </w:r>
    </w:p>
    <w:p w14:paraId="7B977CD4" w14:textId="77777777" w:rsidR="00E25222" w:rsidRDefault="00920315">
      <w:pPr>
        <w:spacing w:before="120"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Advocates recommends adding language into Articles 31 and 33 to ensure prosecution of cases is pursued, even in cases where victims recant or refuse to cooperate, using an evidence-based, victim-absent prosecution approach. </w:t>
      </w:r>
    </w:p>
    <w:p w14:paraId="7D9CBD95" w14:textId="77777777" w:rsidR="00E25222" w:rsidRDefault="00920315">
      <w:pPr>
        <w:spacing w:before="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12204FA"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86: Victim</w:t>
      </w:r>
    </w:p>
    <w:p w14:paraId="1125AA70" w14:textId="77777777" w:rsidR="00E25222" w:rsidRDefault="00920315">
      <w:pPr>
        <w:numPr>
          <w:ilvl w:val="0"/>
          <w:numId w:val="5"/>
        </w:numPr>
        <w:pBdr>
          <w:top w:val="nil"/>
          <w:left w:val="nil"/>
          <w:bottom w:val="nil"/>
          <w:right w:val="nil"/>
          <w:between w:val="nil"/>
        </w:pBdr>
        <w:spacing w:before="120"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victim in a criminal proceeding is a person who has been unreasonably and illegally caused moral, physical or property harm by a crime.</w:t>
      </w:r>
    </w:p>
    <w:p w14:paraId="6D084654" w14:textId="77777777" w:rsidR="00E25222" w:rsidRDefault="00920315">
      <w:pPr>
        <w:numPr>
          <w:ilvl w:val="0"/>
          <w:numId w:val="5"/>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cases of crimes provided for in Article 113, part one of Article 131 of the Criminal Code of Turkmenistan, the victim may contact the prosecutor or the internal affairs body. For these crimes, the victim himself or through his representative has the right to support the prosecution in court proceedings.</w:t>
      </w:r>
    </w:p>
    <w:p w14:paraId="717F0055" w14:textId="77777777" w:rsidR="00E25222" w:rsidRDefault="00920315">
      <w:pPr>
        <w:numPr>
          <w:ilvl w:val="0"/>
          <w:numId w:val="5"/>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inquirer, investigator, prosecute or judge makes a decision on recognition of the victim or on the refusal to do so, and the court makes a ruling.</w:t>
      </w:r>
    </w:p>
    <w:p w14:paraId="303CB032" w14:textId="77777777" w:rsidR="00E25222" w:rsidRDefault="00920315">
      <w:pPr>
        <w:numPr>
          <w:ilvl w:val="0"/>
          <w:numId w:val="5"/>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 citizen recognized as a victim of a crime has the right:</w:t>
      </w:r>
    </w:p>
    <w:p w14:paraId="2340369F"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Give evidence in their native language or a language they speak and use the services of an interpreter;</w:t>
      </w:r>
    </w:p>
    <w:p w14:paraId="717C3E09"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Know about the charges brought against the accused;</w:t>
      </w:r>
    </w:p>
    <w:p w14:paraId="4664DC06"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Get acquainted with the protocols of investigative actions carried out with his participation and submit comments on them;</w:t>
      </w:r>
    </w:p>
    <w:p w14:paraId="2659BCA8"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Provide evidence;</w:t>
      </w:r>
    </w:p>
    <w:p w14:paraId="5BA730C7"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Submit petitions;</w:t>
      </w:r>
    </w:p>
    <w:p w14:paraId="38072187"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From the moment the preliminary investigation is completed, familiarize yourself with all the materials of the case;</w:t>
      </w:r>
    </w:p>
    <w:p w14:paraId="049E0CB7"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Participate in court proceedings;</w:t>
      </w:r>
    </w:p>
    <w:p w14:paraId="3E5A85B3"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File challenges;</w:t>
      </w:r>
    </w:p>
    <w:p w14:paraId="31C7E6DD"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Demand compensation for damage caused to him;</w:t>
      </w:r>
    </w:p>
    <w:p w14:paraId="5CF08706"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Have a representative and cancel his powers;</w:t>
      </w:r>
    </w:p>
    <w:p w14:paraId="1278C9BF"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Get acquainted with the minutes of the court session and submit comments on it;</w:t>
      </w:r>
    </w:p>
    <w:p w14:paraId="3EE072B0" w14:textId="77777777" w:rsidR="00E25222" w:rsidRDefault="00920315">
      <w:pPr>
        <w:numPr>
          <w:ilvl w:val="0"/>
          <w:numId w:val="6"/>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Appeal the actions and decisions of the inquiry officer, investigator, prosecutor, judge and court;</w:t>
      </w:r>
    </w:p>
    <w:p w14:paraId="439C9CA9" w14:textId="77777777" w:rsidR="00E25222" w:rsidRDefault="00920315">
      <w:pPr>
        <w:numPr>
          <w:ilvl w:val="0"/>
          <w:numId w:val="5"/>
        </w:num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In cases of crimes that resulted in the death of the victim, his close relatives have the rights provided for in this article</w:t>
      </w:r>
    </w:p>
    <w:p w14:paraId="6A32C740"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Commentary:</w:t>
      </w:r>
    </w:p>
    <w:p w14:paraId="3912C382"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Criminal Procedural Code should include a statement of the rights of victim- survivors.</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It should promote victim safety, agency, and assistance and prevent the re-victimization of the victim. It should remove barriers that may prevent them from seeking safety, such as concerns about child custody, access to shelters, and legal aid.</w:t>
      </w:r>
      <w:r>
        <w:rPr>
          <w:rFonts w:ascii="Times New Roman" w:eastAsia="Times New Roman" w:hAnsi="Times New Roman" w:cs="Times New Roman"/>
          <w:sz w:val="24"/>
          <w:szCs w:val="24"/>
          <w:vertAlign w:val="superscript"/>
        </w:rPr>
        <w:footnoteReference w:id="39"/>
      </w:r>
    </w:p>
    <w:p w14:paraId="1FE3233A"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statement of rights should inform the victims of legal remedies (such as a preventive measure) and the support services, or help, offered by the state. These services should not be conditional on cooperation with authorities. </w:t>
      </w:r>
    </w:p>
    <w:p w14:paraId="67CB291B"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services should include transport to shelters, emergency services, and other support programs for victims and their families. </w:t>
      </w:r>
    </w:p>
    <w:p w14:paraId="77F4E41F"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Criminal Procedural Code should provide for economic assistance to victims. Economic independence is a necessity for victims to escape situations of violence as lack of finances is often a reason victims remain in abusive situations. Legislation should provide for both short-term and longer-term economic and employment assistance. Aid, including shelter, clothing, and food, should also be provided for the children of the victims. Legislation should include provisions which provide for restitution or compensation to the victims.</w:t>
      </w:r>
    </w:p>
    <w:p w14:paraId="08E06802" w14:textId="77777777" w:rsidR="00E25222" w:rsidRDefault="00E25222">
      <w:pPr>
        <w:spacing w:before="120" w:line="360" w:lineRule="auto"/>
        <w:rPr>
          <w:rFonts w:ascii="Times New Roman" w:eastAsia="Times New Roman" w:hAnsi="Times New Roman" w:cs="Times New Roman"/>
          <w:sz w:val="24"/>
          <w:szCs w:val="24"/>
        </w:rPr>
      </w:pPr>
    </w:p>
    <w:p w14:paraId="2402DA30"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108: Ensuring the safety of victims, suspects, accused, defendants, witnesses, experts, specialists and other persons participating in criminal proceedings. </w:t>
      </w:r>
    </w:p>
    <w:p w14:paraId="1C792587" w14:textId="77777777" w:rsidR="00E25222" w:rsidRDefault="00920315">
      <w:pPr>
        <w:numPr>
          <w:ilvl w:val="0"/>
          <w:numId w:val="7"/>
        </w:numPr>
        <w:pBdr>
          <w:top w:val="nil"/>
          <w:left w:val="nil"/>
          <w:bottom w:val="nil"/>
          <w:right w:val="nil"/>
          <w:between w:val="nil"/>
        </w:pBdr>
        <w:spacing w:before="120"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The body of inquiry, investigator, prosecutor, court, if they have sufficient information that in connection with the criminal proceedings there is a real danger of committing in relation to victims, suspects, accused, defendants, witnesses, experts, specialists or other persons, those participating in the case, as well as their close relatives, threats of murder, use of force, violence, cruelty, destruction or damage to property or the use of other actions, committing acts prohibited by criminal law, are obliged to take all measures provided for by the legislation of Turkmenistan to protect their life and honor, dignity and protection of property, to ensure their safety, identify the perpetrators and bring them to justice.</w:t>
      </w:r>
    </w:p>
    <w:p w14:paraId="6EA16775" w14:textId="77777777" w:rsidR="00E25222" w:rsidRDefault="00E25222">
      <w:pPr>
        <w:pBdr>
          <w:top w:val="nil"/>
          <w:left w:val="nil"/>
          <w:bottom w:val="nil"/>
          <w:right w:val="nil"/>
          <w:between w:val="nil"/>
        </w:pBdr>
        <w:spacing w:line="360" w:lineRule="auto"/>
        <w:ind w:left="720"/>
        <w:rPr>
          <w:rFonts w:ascii="Times New Roman" w:eastAsia="Times New Roman" w:hAnsi="Times New Roman" w:cs="Times New Roman"/>
          <w:i/>
          <w:color w:val="000000"/>
          <w:sz w:val="24"/>
          <w:szCs w:val="24"/>
        </w:rPr>
      </w:pPr>
    </w:p>
    <w:p w14:paraId="410AF548"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147: Type of preventive measures</w:t>
      </w:r>
    </w:p>
    <w:p w14:paraId="5C7095B5" w14:textId="77777777" w:rsidR="00E25222" w:rsidRDefault="00920315">
      <w:pPr>
        <w:numPr>
          <w:ilvl w:val="0"/>
          <w:numId w:val="10"/>
        </w:numPr>
        <w:pBdr>
          <w:top w:val="nil"/>
          <w:left w:val="nil"/>
          <w:bottom w:val="nil"/>
          <w:right w:val="nil"/>
          <w:between w:val="nil"/>
        </w:pBdr>
        <w:spacing w:before="120"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Preventive measures are:</w:t>
      </w:r>
    </w:p>
    <w:p w14:paraId="662C36B0" w14:textId="77777777" w:rsidR="00E25222" w:rsidRDefault="00920315">
      <w:pPr>
        <w:numPr>
          <w:ilvl w:val="0"/>
          <w:numId w:val="9"/>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Undertaking not to leave;</w:t>
      </w:r>
    </w:p>
    <w:p w14:paraId="493AFA65" w14:textId="77777777" w:rsidR="00E25222" w:rsidRDefault="00920315">
      <w:pPr>
        <w:numPr>
          <w:ilvl w:val="0"/>
          <w:numId w:val="9"/>
        </w:numPr>
        <w:pBdr>
          <w:top w:val="nil"/>
          <w:left w:val="nil"/>
          <w:bottom w:val="nil"/>
          <w:right w:val="nil"/>
          <w:between w:val="nil"/>
        </w:pBdr>
        <w:spacing w:after="0"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Personal guarantee;</w:t>
      </w:r>
    </w:p>
    <w:p w14:paraId="76A4C337" w14:textId="77777777" w:rsidR="00E25222" w:rsidRDefault="00920315">
      <w:pPr>
        <w:numPr>
          <w:ilvl w:val="0"/>
          <w:numId w:val="9"/>
        </w:num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Guarantee of the organization;</w:t>
      </w:r>
    </w:p>
    <w:p w14:paraId="29E1FC9C"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3) Pledge/ bail;</w:t>
      </w:r>
    </w:p>
    <w:p w14:paraId="5DA4A83D" w14:textId="77777777" w:rsidR="00E25222" w:rsidRDefault="00920315">
      <w:pPr>
        <w:spacing w:before="12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4) Detention (in custody);</w:t>
      </w:r>
    </w:p>
    <w:p w14:paraId="10D71583" w14:textId="77777777" w:rsidR="00E25222" w:rsidRDefault="00920315">
      <w:pPr>
        <w:spacing w:before="12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Commentary:</w:t>
      </w:r>
    </w:p>
    <w:p w14:paraId="266104E7" w14:textId="77777777" w:rsidR="00E25222" w:rsidRDefault="00920315">
      <w:pPr>
        <w:spacing w:before="12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various protective measures of Articles 108 and 147 are a step toward providing some protection for victims, major gaps remain that leave them and their children vulnerable to intimidation, threats, and further risk during criminal proceedings. The state should strongly consider adopting provisions that allow for the issuance of a </w:t>
      </w:r>
      <w:r>
        <w:rPr>
          <w:rFonts w:ascii="Times New Roman" w:eastAsia="Times New Roman" w:hAnsi="Times New Roman" w:cs="Times New Roman"/>
          <w:i/>
          <w:sz w:val="24"/>
          <w:szCs w:val="24"/>
        </w:rPr>
        <w:t xml:space="preserve">Domestic Abuse No Contact Order, </w:t>
      </w:r>
      <w:r>
        <w:rPr>
          <w:rFonts w:ascii="Times New Roman" w:eastAsia="Times New Roman" w:hAnsi="Times New Roman" w:cs="Times New Roman"/>
          <w:sz w:val="24"/>
          <w:szCs w:val="24"/>
        </w:rPr>
        <w:t xml:space="preserve">independent and separate from a </w:t>
      </w:r>
      <w:r>
        <w:rPr>
          <w:rFonts w:ascii="Times New Roman" w:eastAsia="Times New Roman" w:hAnsi="Times New Roman" w:cs="Times New Roman"/>
          <w:i/>
          <w:sz w:val="24"/>
          <w:szCs w:val="24"/>
        </w:rPr>
        <w:t xml:space="preserve">civil order for protection, </w:t>
      </w:r>
      <w:r>
        <w:rPr>
          <w:rFonts w:ascii="Times New Roman" w:eastAsia="Times New Roman" w:hAnsi="Times New Roman" w:cs="Times New Roman"/>
          <w:sz w:val="24"/>
          <w:szCs w:val="24"/>
        </w:rPr>
        <w:t>and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would greatly increase the security of the victims throughout criminal proceedings. The domestic abuse no contact order should direct the defendant not to contact the victim in any way, by telephone, email, social media, text messaging, in person, at the victim’s place of employment, home, school, or in the community during the pendency of the criminal proceedings. No-contact orders should also include contact through a third party, such as a family member or friend. The law should make clear that the no-contact order should remain in effect until the criminal case is </w:t>
      </w:r>
      <w:r>
        <w:rPr>
          <w:rFonts w:ascii="Times New Roman" w:eastAsia="Times New Roman" w:hAnsi="Times New Roman" w:cs="Times New Roman"/>
          <w:sz w:val="24"/>
          <w:szCs w:val="24"/>
        </w:rPr>
        <w:lastRenderedPageBreak/>
        <w:t xml:space="preserve">concluded or further order of the court. Violations of a domestic abuse no contact order should be considered a new crime with commensurate penalties that reflect the seriousness of the crime, with repeated violations leading to enhanced sentences. </w:t>
      </w:r>
    </w:p>
    <w:p w14:paraId="7305E23D"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258: Confrontation</w:t>
      </w:r>
    </w:p>
    <w:p w14:paraId="43C53393"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1. The investigator conducts a confrontation between two previously interrogated persons, if</w:t>
      </w:r>
    </w:p>
    <w:p w14:paraId="7F585A27"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there are significant contradictions in their testimony, to clarify the reasons for these</w:t>
      </w:r>
    </w:p>
    <w:p w14:paraId="7B877C81"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contradictions.</w:t>
      </w:r>
    </w:p>
    <w:p w14:paraId="17C06843"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2. At a confrontation in cases provided for by this Code, a lawyer, teacher, doctor, translator and</w:t>
      </w:r>
    </w:p>
    <w:p w14:paraId="4B6C8E82"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legal representative of the interrogated may be present.</w:t>
      </w:r>
    </w:p>
    <w:p w14:paraId="1EA3E599"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3. At the beginning of the confrontation, the investigator clarifies whether the persons between</w:t>
      </w:r>
    </w:p>
    <w:p w14:paraId="10ABE64B"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whom the confrontation is being conducted know each other, and what kind of relationship they</w:t>
      </w:r>
    </w:p>
    <w:p w14:paraId="2DAE7834"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have with each other.</w:t>
      </w:r>
    </w:p>
    <w:p w14:paraId="19463C22"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4. At a confrontation, the order in which persons testify about the circumstances to be clarified is</w:t>
      </w:r>
    </w:p>
    <w:p w14:paraId="367DA4A4"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determined by the investigator. After this, the investigator asks questions. Persons summoned to</w:t>
      </w:r>
    </w:p>
    <w:p w14:paraId="0D21FB93"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confrontation, with the permission of the investigator, can ask questions to each other, which is</w:t>
      </w:r>
    </w:p>
    <w:p w14:paraId="6BBD01A1"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noted in the protocol.</w:t>
      </w:r>
    </w:p>
    <w:p w14:paraId="4CF4656A"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5. When conducting a confrontation, the investigator may present material evidence and</w:t>
      </w:r>
    </w:p>
    <w:p w14:paraId="56E36AF3"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documents attached to the case</w:t>
      </w:r>
    </w:p>
    <w:p w14:paraId="6D8AC524"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6. The disclosure of evidence given by participants in the confrontation during previous</w:t>
      </w:r>
    </w:p>
    <w:p w14:paraId="7FB9E03F"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interrogations is permitted after they have given evidence at the confrontation and entered it into</w:t>
      </w:r>
    </w:p>
    <w:p w14:paraId="18DCDFED"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protocol.</w:t>
      </w:r>
    </w:p>
    <w:p w14:paraId="6C87577E"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7. If a witness and a victim participate in a confrontation, they must be warned of liability for</w:t>
      </w:r>
    </w:p>
    <w:p w14:paraId="1F347928"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refusal to testify and for giving knowingly false testimony, which is noted in the protocol.</w:t>
      </w:r>
    </w:p>
    <w:p w14:paraId="3B18BB17"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8. The progress and results of the confrontation are reflected in the protocol drawn up in</w:t>
      </w:r>
    </w:p>
    <w:p w14:paraId="3ECE26BD"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accordance with Article 117 of this Code.</w:t>
      </w:r>
    </w:p>
    <w:p w14:paraId="05B10225"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9. The investigator familiarizes the participants in the confrontation with the contents of the</w:t>
      </w:r>
    </w:p>
    <w:p w14:paraId="72AC04FA"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protocol. Interrogated persons have the right to demand amendments and additions to the</w:t>
      </w:r>
    </w:p>
    <w:p w14:paraId="4C47EC39"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protocol. The protocol is signed by the interrogated persons and the investigator. Each</w:t>
      </w:r>
    </w:p>
    <w:p w14:paraId="7E3E14DB" w14:textId="77777777" w:rsidR="00E25222" w:rsidRDefault="00920315">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interrogated person signs his testimony and each page of the protocol separately.</w:t>
      </w:r>
    </w:p>
    <w:p w14:paraId="2EB300B5" w14:textId="77777777" w:rsidR="00E25222" w:rsidRDefault="00920315">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Commentary: </w:t>
      </w:r>
    </w:p>
    <w:p w14:paraId="242EF001" w14:textId="77777777" w:rsidR="00E25222" w:rsidRDefault="00920315">
      <w:pPr>
        <w:spacing w:before="12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Confrontation used in domestic violence cases is dangerous, threatening to victims and an unreliable way to assess truth since offenders’ controlling and coercive tactics, which are inherent in domestic violence, will likely frighten victims and affect their testimony. This practice can intimidate a victim whose abuser has used violence to control her behavior and is not likely to result in candid or truthful testimony. The Advocates recommends including an exception to this provision and requiring: a) authorities screen all cases for domestic violence prior to a confrontation procedure by accepting external evidence of or the victim’s statement alone attesting to domestic violence, and b) omit, without exception, parties in domestic violence cases from the practice of confrontation.</w:t>
      </w:r>
    </w:p>
    <w:sectPr w:rsidR="00E25222">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056A1" w14:textId="77777777" w:rsidR="00051559" w:rsidRDefault="00051559">
      <w:pPr>
        <w:spacing w:after="0" w:line="240" w:lineRule="auto"/>
      </w:pPr>
      <w:r>
        <w:separator/>
      </w:r>
    </w:p>
  </w:endnote>
  <w:endnote w:type="continuationSeparator" w:id="0">
    <w:p w14:paraId="56F35871" w14:textId="77777777" w:rsidR="00051559" w:rsidRDefault="000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EEE2" w14:textId="77777777" w:rsidR="00E25222" w:rsidRDefault="0092031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D104B">
      <w:rPr>
        <w:noProof/>
        <w:color w:val="000000"/>
      </w:rPr>
      <w:t>2</w:t>
    </w:r>
    <w:r>
      <w:rPr>
        <w:color w:val="000000"/>
      </w:rPr>
      <w:fldChar w:fldCharType="end"/>
    </w:r>
  </w:p>
  <w:p w14:paraId="79AE2BD7" w14:textId="77777777" w:rsidR="00E25222" w:rsidRDefault="00E2522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0CE6" w14:textId="77777777" w:rsidR="00E25222" w:rsidRDefault="00E25222">
    <w:pPr>
      <w:widowControl w:val="0"/>
      <w:pBdr>
        <w:top w:val="nil"/>
        <w:left w:val="nil"/>
        <w:bottom w:val="nil"/>
        <w:right w:val="nil"/>
        <w:between w:val="nil"/>
      </w:pBdr>
      <w:spacing w:after="0" w:line="276" w:lineRule="auto"/>
      <w:rPr>
        <w:color w:val="000000"/>
      </w:rPr>
    </w:pPr>
  </w:p>
  <w:tbl>
    <w:tblPr>
      <w:tblStyle w:val="a"/>
      <w:tblW w:w="9360" w:type="dxa"/>
      <w:tblLayout w:type="fixed"/>
      <w:tblLook w:val="0600" w:firstRow="0" w:lastRow="0" w:firstColumn="0" w:lastColumn="0" w:noHBand="1" w:noVBand="1"/>
    </w:tblPr>
    <w:tblGrid>
      <w:gridCol w:w="3120"/>
      <w:gridCol w:w="3120"/>
      <w:gridCol w:w="3120"/>
    </w:tblGrid>
    <w:tr w:rsidR="00E25222" w14:paraId="5F253ED4" w14:textId="77777777">
      <w:trPr>
        <w:trHeight w:val="300"/>
      </w:trPr>
      <w:tc>
        <w:tcPr>
          <w:tcW w:w="3120" w:type="dxa"/>
        </w:tcPr>
        <w:p w14:paraId="7390C824" w14:textId="77777777" w:rsidR="00E25222" w:rsidRDefault="00E25222">
          <w:pPr>
            <w:pBdr>
              <w:top w:val="nil"/>
              <w:left w:val="nil"/>
              <w:bottom w:val="nil"/>
              <w:right w:val="nil"/>
              <w:between w:val="nil"/>
            </w:pBdr>
            <w:tabs>
              <w:tab w:val="center" w:pos="4680"/>
              <w:tab w:val="right" w:pos="9360"/>
            </w:tabs>
            <w:spacing w:after="0" w:line="240" w:lineRule="auto"/>
            <w:ind w:left="-115"/>
            <w:rPr>
              <w:color w:val="000000"/>
            </w:rPr>
          </w:pPr>
        </w:p>
      </w:tc>
      <w:tc>
        <w:tcPr>
          <w:tcW w:w="3120" w:type="dxa"/>
        </w:tcPr>
        <w:p w14:paraId="145AFF32" w14:textId="77777777" w:rsidR="00E25222" w:rsidRDefault="00E25222">
          <w:pPr>
            <w:pBdr>
              <w:top w:val="nil"/>
              <w:left w:val="nil"/>
              <w:bottom w:val="nil"/>
              <w:right w:val="nil"/>
              <w:between w:val="nil"/>
            </w:pBdr>
            <w:tabs>
              <w:tab w:val="center" w:pos="4680"/>
              <w:tab w:val="right" w:pos="9360"/>
            </w:tabs>
            <w:spacing w:after="0" w:line="240" w:lineRule="auto"/>
            <w:jc w:val="center"/>
            <w:rPr>
              <w:color w:val="000000"/>
            </w:rPr>
          </w:pPr>
        </w:p>
      </w:tc>
      <w:tc>
        <w:tcPr>
          <w:tcW w:w="3120" w:type="dxa"/>
        </w:tcPr>
        <w:p w14:paraId="01FCED38" w14:textId="77777777" w:rsidR="00E25222" w:rsidRDefault="00E25222">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32E841C8" w14:textId="77777777" w:rsidR="00E25222" w:rsidRDefault="00E2522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33E9" w14:textId="77777777" w:rsidR="00051559" w:rsidRDefault="00051559">
      <w:pPr>
        <w:spacing w:after="0" w:line="240" w:lineRule="auto"/>
      </w:pPr>
      <w:r>
        <w:separator/>
      </w:r>
    </w:p>
  </w:footnote>
  <w:footnote w:type="continuationSeparator" w:id="0">
    <w:p w14:paraId="16D78EE7" w14:textId="77777777" w:rsidR="00051559" w:rsidRDefault="00051559">
      <w:pPr>
        <w:spacing w:after="0" w:line="240" w:lineRule="auto"/>
      </w:pPr>
      <w:r>
        <w:continuationSeparator/>
      </w:r>
    </w:p>
  </w:footnote>
  <w:footnote w:id="1">
    <w:p w14:paraId="3E440FEB" w14:textId="77777777" w:rsidR="00E25222" w:rsidRPr="00C75C37" w:rsidRDefault="00920315">
      <w:pPr>
        <w:spacing w:after="0"/>
        <w:rPr>
          <w:rFonts w:asciiTheme="majorBidi"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w:t>
      </w:r>
      <w:hyperlink r:id="rId1">
        <w:r w:rsidRPr="00C75C37">
          <w:rPr>
            <w:rFonts w:asciiTheme="majorBidi" w:hAnsiTheme="majorBidi" w:cstheme="majorBidi"/>
            <w:color w:val="1155CC"/>
            <w:sz w:val="20"/>
            <w:szCs w:val="20"/>
            <w:u w:val="single"/>
          </w:rPr>
          <w:t>https://minjust.gov.tm/ru/hukuk/merkezi/hukuk/1</w:t>
        </w:r>
      </w:hyperlink>
      <w:r w:rsidRPr="00C75C37">
        <w:rPr>
          <w:rFonts w:asciiTheme="majorBidi" w:hAnsiTheme="majorBidi" w:cstheme="majorBidi"/>
          <w:sz w:val="20"/>
          <w:szCs w:val="20"/>
        </w:rPr>
        <w:t xml:space="preserve"> </w:t>
      </w:r>
    </w:p>
  </w:footnote>
  <w:footnote w:id="2">
    <w:p w14:paraId="54238987" w14:textId="77777777" w:rsidR="00E25222" w:rsidRPr="00C75C37" w:rsidRDefault="00920315">
      <w:pPr>
        <w:spacing w:after="0"/>
        <w:rPr>
          <w:rFonts w:asciiTheme="majorBidi"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w:t>
      </w:r>
      <w:hyperlink r:id="rId2">
        <w:r w:rsidRPr="00C75C37">
          <w:rPr>
            <w:rFonts w:asciiTheme="majorBidi" w:hAnsiTheme="majorBidi" w:cstheme="majorBidi"/>
            <w:color w:val="1155CC"/>
            <w:sz w:val="20"/>
            <w:szCs w:val="20"/>
            <w:u w:val="single"/>
          </w:rPr>
          <w:t>https://minjust.gov.tm/ru/hukuk/merkezi/hukuk/304</w:t>
        </w:r>
      </w:hyperlink>
      <w:r w:rsidRPr="00C75C37">
        <w:rPr>
          <w:rFonts w:asciiTheme="majorBidi" w:hAnsiTheme="majorBidi" w:cstheme="majorBidi"/>
          <w:sz w:val="20"/>
          <w:szCs w:val="20"/>
        </w:rPr>
        <w:t xml:space="preserve"> </w:t>
      </w:r>
    </w:p>
  </w:footnote>
  <w:footnote w:id="3">
    <w:p w14:paraId="725FF41B" w14:textId="77777777" w:rsidR="00E25222" w:rsidRPr="00C75C37" w:rsidRDefault="00920315">
      <w:pPr>
        <w:spacing w:after="0"/>
        <w:rPr>
          <w:rFonts w:asciiTheme="majorBidi"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w:t>
      </w:r>
      <w:hyperlink r:id="rId3">
        <w:r w:rsidRPr="00C75C37">
          <w:rPr>
            <w:rFonts w:asciiTheme="majorBidi" w:hAnsiTheme="majorBidi" w:cstheme="majorBidi"/>
            <w:color w:val="1155CC"/>
            <w:sz w:val="20"/>
            <w:szCs w:val="20"/>
            <w:u w:val="single"/>
          </w:rPr>
          <w:t>https://minjust.gov.tm/ru/hukuk/merkezi/hukuk/539</w:t>
        </w:r>
      </w:hyperlink>
      <w:r w:rsidRPr="00C75C37">
        <w:rPr>
          <w:rFonts w:asciiTheme="majorBidi" w:hAnsiTheme="majorBidi" w:cstheme="majorBidi"/>
          <w:sz w:val="20"/>
          <w:szCs w:val="20"/>
        </w:rPr>
        <w:t xml:space="preserve"> </w:t>
      </w:r>
    </w:p>
  </w:footnote>
  <w:footnote w:id="4">
    <w:p w14:paraId="66249782"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CEDAW, General Recommendation No.35 (2017), ¶23.</w:t>
      </w:r>
    </w:p>
  </w:footnote>
  <w:footnote w:id="5">
    <w:p w14:paraId="24D53F0E"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UN Women, </w:t>
      </w:r>
      <w:r w:rsidRPr="00C75C37">
        <w:rPr>
          <w:rFonts w:asciiTheme="majorBidi" w:hAnsiTheme="majorBidi" w:cstheme="majorBidi"/>
          <w:i/>
          <w:color w:val="000000"/>
          <w:sz w:val="20"/>
          <w:szCs w:val="20"/>
        </w:rPr>
        <w:t>Handbook for Legislation on Violence against Women</w:t>
      </w:r>
      <w:r w:rsidRPr="00C75C37">
        <w:rPr>
          <w:rFonts w:asciiTheme="majorBidi" w:hAnsiTheme="majorBidi" w:cstheme="majorBidi"/>
          <w:b/>
          <w:color w:val="000000"/>
          <w:sz w:val="20"/>
          <w:szCs w:val="20"/>
        </w:rPr>
        <w:t xml:space="preserve"> </w:t>
      </w:r>
      <w:r w:rsidRPr="00C75C37">
        <w:rPr>
          <w:rFonts w:asciiTheme="majorBidi" w:hAnsiTheme="majorBidi" w:cstheme="majorBidi"/>
          <w:color w:val="000000"/>
          <w:sz w:val="20"/>
          <w:szCs w:val="20"/>
        </w:rPr>
        <w:t xml:space="preserve">(2012), 25 at </w:t>
      </w:r>
      <w:hyperlink r:id="rId4">
        <w:proofErr w:type="spellStart"/>
        <w:r w:rsidRPr="00C75C37">
          <w:rPr>
            <w:rFonts w:asciiTheme="majorBidi" w:hAnsiTheme="majorBidi" w:cstheme="majorBidi"/>
            <w:color w:val="0563C1"/>
            <w:sz w:val="20"/>
            <w:szCs w:val="20"/>
            <w:u w:val="single"/>
          </w:rPr>
          <w:t>UNW_Legislation</w:t>
        </w:r>
        <w:proofErr w:type="spellEnd"/>
        <w:r w:rsidRPr="00C75C37">
          <w:rPr>
            <w:rFonts w:asciiTheme="majorBidi" w:hAnsiTheme="majorBidi" w:cstheme="majorBidi"/>
            <w:color w:val="0563C1"/>
            <w:sz w:val="20"/>
            <w:szCs w:val="20"/>
            <w:u w:val="single"/>
          </w:rPr>
          <w:t>-Handbook pdf.pdf (unwomen.org)</w:t>
        </w:r>
      </w:hyperlink>
      <w:r w:rsidRPr="00C75C37">
        <w:rPr>
          <w:rFonts w:asciiTheme="majorBidi" w:hAnsiTheme="majorBidi" w:cstheme="majorBidi"/>
          <w:color w:val="000000"/>
          <w:sz w:val="20"/>
          <w:szCs w:val="20"/>
        </w:rPr>
        <w:t xml:space="preserve">, accessed Dec. 22, 2023. </w:t>
      </w:r>
    </w:p>
  </w:footnote>
  <w:footnote w:id="6">
    <w:p w14:paraId="23E0B3FC"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The Advocates for Human Rights, </w:t>
      </w:r>
      <w:hyperlink r:id="rId5">
        <w:r w:rsidRPr="00C75C37">
          <w:rPr>
            <w:rFonts w:asciiTheme="majorBidi" w:hAnsiTheme="majorBidi" w:cstheme="majorBidi"/>
            <w:color w:val="0563C1"/>
            <w:sz w:val="20"/>
            <w:szCs w:val="20"/>
            <w:u w:val="single"/>
          </w:rPr>
          <w:t>https://www.stopvaw.org/uploads/coercive_control_a_new_model_for_understanding_domestic_violence.pdf</w:t>
        </w:r>
      </w:hyperlink>
      <w:r w:rsidRPr="00C75C37">
        <w:rPr>
          <w:rFonts w:asciiTheme="majorBidi" w:hAnsiTheme="majorBidi" w:cstheme="majorBidi"/>
          <w:color w:val="000000"/>
          <w:sz w:val="20"/>
          <w:szCs w:val="20"/>
        </w:rPr>
        <w:t xml:space="preserve"> accessed Dec. 22, 2023.</w:t>
      </w:r>
    </w:p>
  </w:footnote>
  <w:footnote w:id="7">
    <w:p w14:paraId="7E65915A"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Domestic Abuse Intervention Programs, “Understanding the Power and Control Wheel”, accessed Dec. 12, 2023, </w:t>
      </w:r>
      <w:hyperlink r:id="rId6">
        <w:r w:rsidRPr="00C75C37">
          <w:rPr>
            <w:rFonts w:asciiTheme="majorBidi" w:hAnsiTheme="majorBidi" w:cstheme="majorBidi"/>
            <w:color w:val="0563C1"/>
            <w:sz w:val="20"/>
            <w:szCs w:val="20"/>
            <w:u w:val="single"/>
          </w:rPr>
          <w:t>https://www.theduluthmodel.org/wheels/understanding-power-control-wheel/</w:t>
        </w:r>
      </w:hyperlink>
      <w:r w:rsidRPr="00C75C37">
        <w:rPr>
          <w:rFonts w:asciiTheme="majorBidi" w:hAnsiTheme="majorBidi" w:cstheme="majorBidi"/>
          <w:color w:val="000000"/>
          <w:sz w:val="20"/>
          <w:szCs w:val="20"/>
        </w:rPr>
        <w:t>. Violent incidents are not isolated instances of a loss of control, or even cyclical expressions of anger and frustration. Rather, each instance is part of a larger pattern of behavior designed to exert and maintain power and control over the victim.</w:t>
      </w:r>
    </w:p>
  </w:footnote>
  <w:footnote w:id="8">
    <w:p w14:paraId="19861C7D"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US Department of Justice, </w:t>
      </w:r>
      <w:r w:rsidRPr="00C75C37">
        <w:rPr>
          <w:rFonts w:asciiTheme="majorBidi" w:hAnsiTheme="majorBidi" w:cstheme="majorBidi"/>
          <w:i/>
          <w:color w:val="000000"/>
          <w:sz w:val="20"/>
          <w:szCs w:val="20"/>
        </w:rPr>
        <w:t>Family Violence: A Model State Code</w:t>
      </w:r>
      <w:r w:rsidRPr="00C75C37">
        <w:rPr>
          <w:rFonts w:asciiTheme="majorBidi" w:hAnsiTheme="majorBidi" w:cstheme="majorBidi"/>
          <w:color w:val="000000"/>
          <w:sz w:val="20"/>
          <w:szCs w:val="20"/>
        </w:rPr>
        <w:t xml:space="preserve"> (1994). 22.</w:t>
      </w:r>
    </w:p>
  </w:footnote>
  <w:footnote w:id="9">
    <w:p w14:paraId="48FFA560"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Domestic Abuse Act, MN §518B.01 subd. 7.</w:t>
      </w:r>
    </w:p>
  </w:footnote>
  <w:footnote w:id="10">
    <w:p w14:paraId="12783609"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US Department of Justice, </w:t>
      </w:r>
      <w:r w:rsidRPr="00C75C37">
        <w:rPr>
          <w:rFonts w:asciiTheme="majorBidi" w:hAnsiTheme="majorBidi" w:cstheme="majorBidi"/>
          <w:i/>
          <w:color w:val="000000"/>
          <w:sz w:val="20"/>
          <w:szCs w:val="20"/>
        </w:rPr>
        <w:t>Family Violence: A Model State Code</w:t>
      </w:r>
      <w:r w:rsidRPr="00C75C37">
        <w:rPr>
          <w:rFonts w:asciiTheme="majorBidi" w:hAnsiTheme="majorBidi" w:cstheme="majorBidi"/>
          <w:color w:val="000000"/>
          <w:sz w:val="20"/>
          <w:szCs w:val="20"/>
        </w:rPr>
        <w:t xml:space="preserve"> (1994),22</w:t>
      </w:r>
    </w:p>
  </w:footnote>
  <w:footnote w:id="11">
    <w:p w14:paraId="28BDA8CD" w14:textId="77777777" w:rsidR="00E25222" w:rsidRPr="00C75C37" w:rsidRDefault="00920315">
      <w:pPr>
        <w:spacing w:after="0" w:line="240" w:lineRule="auto"/>
        <w:rPr>
          <w:rFonts w:asciiTheme="majorBidi"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Original languages of the Code: </w:t>
      </w:r>
      <w:proofErr w:type="spellStart"/>
      <w:r w:rsidRPr="00C75C37">
        <w:rPr>
          <w:rFonts w:asciiTheme="majorBidi" w:hAnsiTheme="majorBidi" w:cstheme="majorBidi"/>
          <w:sz w:val="20"/>
          <w:szCs w:val="20"/>
        </w:rPr>
        <w:t>аморальность</w:t>
      </w:r>
      <w:proofErr w:type="spellEnd"/>
      <w:r w:rsidRPr="00C75C37">
        <w:rPr>
          <w:rFonts w:asciiTheme="majorBidi" w:hAnsiTheme="majorBidi" w:cstheme="majorBidi"/>
          <w:sz w:val="20"/>
          <w:szCs w:val="20"/>
        </w:rPr>
        <w:t xml:space="preserve"> (RUS); </w:t>
      </w:r>
      <w:proofErr w:type="spellStart"/>
      <w:r w:rsidRPr="00C75C37">
        <w:rPr>
          <w:rFonts w:asciiTheme="majorBidi" w:hAnsiTheme="majorBidi" w:cstheme="majorBidi"/>
          <w:sz w:val="20"/>
          <w:szCs w:val="20"/>
        </w:rPr>
        <w:t>ahlaksyz</w:t>
      </w:r>
      <w:proofErr w:type="spellEnd"/>
      <w:r w:rsidRPr="00C75C37">
        <w:rPr>
          <w:rFonts w:asciiTheme="majorBidi" w:hAnsiTheme="majorBidi" w:cstheme="majorBidi"/>
          <w:sz w:val="20"/>
          <w:szCs w:val="20"/>
        </w:rPr>
        <w:t xml:space="preserve"> (TKM)</w:t>
      </w:r>
    </w:p>
  </w:footnote>
  <w:footnote w:id="12">
    <w:p w14:paraId="0F01766D" w14:textId="77777777" w:rsidR="00E25222" w:rsidRDefault="00920315">
      <w:pPr>
        <w:pBdr>
          <w:top w:val="nil"/>
          <w:left w:val="nil"/>
          <w:bottom w:val="nil"/>
          <w:right w:val="nil"/>
          <w:between w:val="nil"/>
        </w:pBdr>
        <w:spacing w:after="0" w:line="240" w:lineRule="auto"/>
        <w:rPr>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UN Women, </w:t>
      </w:r>
      <w:r w:rsidRPr="00C75C37">
        <w:rPr>
          <w:rFonts w:asciiTheme="majorBidi" w:hAnsiTheme="majorBidi" w:cstheme="majorBidi"/>
          <w:i/>
          <w:color w:val="000000"/>
          <w:sz w:val="20"/>
          <w:szCs w:val="20"/>
        </w:rPr>
        <w:t>UN Handbook for Legislation on Violence against Women (2012)</w:t>
      </w:r>
      <w:r w:rsidRPr="00C75C37">
        <w:rPr>
          <w:rFonts w:asciiTheme="majorBidi" w:hAnsiTheme="majorBidi" w:cstheme="majorBidi"/>
          <w:color w:val="000000"/>
          <w:sz w:val="20"/>
          <w:szCs w:val="20"/>
        </w:rPr>
        <w:t xml:space="preserve">, Section 3.11.2, </w:t>
      </w:r>
      <w:hyperlink r:id="rId7">
        <w:r w:rsidRPr="00C75C37">
          <w:rPr>
            <w:rFonts w:asciiTheme="majorBidi" w:hAnsiTheme="majorBidi" w:cstheme="majorBidi"/>
            <w:color w:val="0563C1"/>
            <w:sz w:val="20"/>
            <w:szCs w:val="20"/>
            <w:u w:val="single"/>
          </w:rPr>
          <w:t>https://www.un.org/womenwatch/daw/vaw/handbook/Handbook%20for%20legislation%20on%20violence%20against%20women.pdf</w:t>
        </w:r>
      </w:hyperlink>
      <w:r w:rsidRPr="00C75C37">
        <w:rPr>
          <w:rFonts w:asciiTheme="majorBidi" w:hAnsiTheme="majorBidi" w:cstheme="majorBidi"/>
          <w:color w:val="000000"/>
          <w:sz w:val="20"/>
          <w:szCs w:val="20"/>
        </w:rPr>
        <w:t>., accessed Dec. 22, 2023.</w:t>
      </w:r>
    </w:p>
  </w:footnote>
  <w:footnote w:id="13">
    <w:p w14:paraId="4628DEAE"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CEDAW. General Recommendation No. 35, ¶ 24 (2)(b).</w:t>
      </w:r>
    </w:p>
  </w:footnote>
  <w:footnote w:id="14">
    <w:p w14:paraId="28F3A40F" w14:textId="77777777" w:rsidR="00E25222" w:rsidRPr="00C75C37"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International Association of Chiefs of Police, </w:t>
      </w:r>
      <w:r w:rsidRPr="00C75C37">
        <w:rPr>
          <w:rFonts w:asciiTheme="majorBidi" w:hAnsiTheme="majorBidi" w:cstheme="majorBidi"/>
          <w:i/>
          <w:color w:val="000000"/>
          <w:sz w:val="20"/>
          <w:szCs w:val="20"/>
        </w:rPr>
        <w:t>Intimate Partner Violence Response Policy and Training Content</w:t>
      </w:r>
      <w:r w:rsidRPr="00C75C37">
        <w:rPr>
          <w:rFonts w:asciiTheme="majorBidi" w:hAnsiTheme="majorBidi" w:cstheme="majorBidi"/>
          <w:color w:val="000000"/>
          <w:sz w:val="20"/>
          <w:szCs w:val="20"/>
        </w:rPr>
        <w:t xml:space="preserve"> Guidelines (2017), 6., </w:t>
      </w:r>
      <w:hyperlink r:id="rId8">
        <w:r w:rsidRPr="00C75C37">
          <w:rPr>
            <w:rFonts w:asciiTheme="majorBidi" w:hAnsiTheme="majorBidi" w:cstheme="majorBidi"/>
            <w:color w:val="0563C1"/>
            <w:sz w:val="20"/>
            <w:szCs w:val="20"/>
            <w:u w:val="single"/>
          </w:rPr>
          <w:t>IACPIntimatePartnerViolenceResponsePolicyandTrainingGuidelines2017.pdf (theiacp.org)</w:t>
        </w:r>
      </w:hyperlink>
      <w:r w:rsidRPr="00C75C37">
        <w:rPr>
          <w:rFonts w:asciiTheme="majorBidi" w:hAnsiTheme="majorBidi" w:cstheme="majorBidi"/>
          <w:color w:val="0563C1"/>
          <w:sz w:val="20"/>
          <w:szCs w:val="20"/>
          <w:u w:val="single"/>
        </w:rPr>
        <w:t xml:space="preserve">, </w:t>
      </w:r>
      <w:r w:rsidRPr="00C75C37">
        <w:rPr>
          <w:rFonts w:asciiTheme="majorBidi" w:hAnsiTheme="majorBidi" w:cstheme="majorBidi"/>
          <w:color w:val="000000"/>
          <w:sz w:val="20"/>
          <w:szCs w:val="20"/>
        </w:rPr>
        <w:t>accessed Dec. 22, 2023.</w:t>
      </w:r>
    </w:p>
  </w:footnote>
  <w:footnote w:id="15">
    <w:p w14:paraId="25E9AE0A" w14:textId="77777777" w:rsidR="00E25222" w:rsidRDefault="00920315">
      <w:pPr>
        <w:pBdr>
          <w:top w:val="nil"/>
          <w:left w:val="nil"/>
          <w:bottom w:val="nil"/>
          <w:right w:val="nil"/>
          <w:between w:val="nil"/>
        </w:pBdr>
        <w:spacing w:after="0" w:line="240" w:lineRule="auto"/>
        <w:rPr>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CEDAW, General Recommendation No.35 (2017), 26 (a).</w:t>
      </w:r>
    </w:p>
  </w:footnote>
  <w:footnote w:id="16">
    <w:p w14:paraId="10C68044" w14:textId="77777777" w:rsidR="00E25222" w:rsidRPr="00C75C37" w:rsidRDefault="00920315">
      <w:pPr>
        <w:spacing w:after="0" w:line="240" w:lineRule="auto"/>
        <w:rPr>
          <w:rFonts w:asciiTheme="majorBidi" w:hAnsiTheme="majorBidi" w:cstheme="majorBidi"/>
          <w:color w:val="000000"/>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color w:val="000000"/>
          <w:sz w:val="20"/>
          <w:szCs w:val="20"/>
        </w:rPr>
        <w:t xml:space="preserve"> Original languages of the Code: </w:t>
      </w:r>
      <w:proofErr w:type="spellStart"/>
      <w:r w:rsidRPr="00C75C37">
        <w:rPr>
          <w:rFonts w:asciiTheme="majorBidi" w:hAnsiTheme="majorBidi" w:cstheme="majorBidi"/>
          <w:color w:val="000000"/>
          <w:sz w:val="20"/>
          <w:szCs w:val="20"/>
        </w:rPr>
        <w:t>телесные</w:t>
      </w:r>
      <w:proofErr w:type="spellEnd"/>
      <w:r w:rsidRPr="00C75C37">
        <w:rPr>
          <w:rFonts w:asciiTheme="majorBidi" w:hAnsiTheme="majorBidi" w:cstheme="majorBidi"/>
          <w:color w:val="000000"/>
          <w:sz w:val="20"/>
          <w:szCs w:val="20"/>
        </w:rPr>
        <w:t xml:space="preserve"> </w:t>
      </w:r>
      <w:proofErr w:type="spellStart"/>
      <w:r w:rsidRPr="00C75C37">
        <w:rPr>
          <w:rFonts w:asciiTheme="majorBidi" w:hAnsiTheme="majorBidi" w:cstheme="majorBidi"/>
          <w:color w:val="000000"/>
          <w:sz w:val="20"/>
          <w:szCs w:val="20"/>
        </w:rPr>
        <w:t>повреждения</w:t>
      </w:r>
      <w:proofErr w:type="spellEnd"/>
      <w:r w:rsidRPr="00C75C37">
        <w:rPr>
          <w:rFonts w:asciiTheme="majorBidi" w:hAnsiTheme="majorBidi" w:cstheme="majorBidi"/>
          <w:color w:val="000000"/>
          <w:sz w:val="20"/>
          <w:szCs w:val="20"/>
        </w:rPr>
        <w:t xml:space="preserve"> (RUS) or </w:t>
      </w:r>
      <w:proofErr w:type="spellStart"/>
      <w:r w:rsidRPr="00C75C37">
        <w:rPr>
          <w:rFonts w:asciiTheme="majorBidi" w:hAnsiTheme="majorBidi" w:cstheme="majorBidi"/>
          <w:color w:val="000000"/>
          <w:sz w:val="20"/>
          <w:szCs w:val="20"/>
        </w:rPr>
        <w:t>вред</w:t>
      </w:r>
      <w:proofErr w:type="spellEnd"/>
      <w:r w:rsidRPr="00C75C37">
        <w:rPr>
          <w:rFonts w:asciiTheme="majorBidi" w:hAnsiTheme="majorBidi" w:cstheme="majorBidi"/>
          <w:color w:val="000000"/>
          <w:sz w:val="20"/>
          <w:szCs w:val="20"/>
        </w:rPr>
        <w:t xml:space="preserve"> </w:t>
      </w:r>
      <w:proofErr w:type="spellStart"/>
      <w:r w:rsidRPr="00C75C37">
        <w:rPr>
          <w:rFonts w:asciiTheme="majorBidi" w:hAnsiTheme="majorBidi" w:cstheme="majorBidi"/>
          <w:color w:val="000000"/>
          <w:sz w:val="20"/>
          <w:szCs w:val="20"/>
        </w:rPr>
        <w:t>здоровью</w:t>
      </w:r>
      <w:proofErr w:type="spellEnd"/>
      <w:r w:rsidRPr="00C75C37">
        <w:rPr>
          <w:rFonts w:asciiTheme="majorBidi" w:hAnsiTheme="majorBidi" w:cstheme="majorBidi"/>
          <w:color w:val="000000"/>
          <w:sz w:val="20"/>
          <w:szCs w:val="20"/>
        </w:rPr>
        <w:t xml:space="preserve"> (RUS) or </w:t>
      </w:r>
      <w:proofErr w:type="spellStart"/>
      <w:r w:rsidRPr="00C75C37">
        <w:rPr>
          <w:rFonts w:asciiTheme="majorBidi" w:hAnsiTheme="majorBidi" w:cstheme="majorBidi"/>
          <w:color w:val="000000"/>
          <w:sz w:val="20"/>
          <w:szCs w:val="20"/>
        </w:rPr>
        <w:t>страдания</w:t>
      </w:r>
      <w:proofErr w:type="spellEnd"/>
      <w:r w:rsidRPr="00C75C37">
        <w:rPr>
          <w:rFonts w:asciiTheme="majorBidi" w:hAnsiTheme="majorBidi" w:cstheme="majorBidi"/>
          <w:color w:val="000000"/>
          <w:sz w:val="20"/>
          <w:szCs w:val="20"/>
        </w:rPr>
        <w:t xml:space="preserve">  (RUS); </w:t>
      </w:r>
      <w:proofErr w:type="spellStart"/>
      <w:r w:rsidRPr="00C75C37">
        <w:rPr>
          <w:rFonts w:asciiTheme="majorBidi" w:hAnsiTheme="majorBidi" w:cstheme="majorBidi"/>
          <w:i/>
          <w:color w:val="000000"/>
          <w:sz w:val="20"/>
          <w:szCs w:val="20"/>
        </w:rPr>
        <w:t>syna</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zyýan</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ýetirmek</w:t>
      </w:r>
      <w:proofErr w:type="spellEnd"/>
      <w:r w:rsidRPr="00C75C37">
        <w:rPr>
          <w:rFonts w:asciiTheme="majorBidi" w:hAnsiTheme="majorBidi" w:cstheme="majorBidi"/>
          <w:color w:val="000000"/>
          <w:sz w:val="20"/>
          <w:szCs w:val="20"/>
        </w:rPr>
        <w:t xml:space="preserve"> (TKM) or </w:t>
      </w:r>
      <w:proofErr w:type="spellStart"/>
      <w:r w:rsidRPr="00C75C37">
        <w:rPr>
          <w:rFonts w:asciiTheme="majorBidi" w:hAnsiTheme="majorBidi" w:cstheme="majorBidi"/>
          <w:i/>
          <w:color w:val="000000"/>
          <w:sz w:val="20"/>
          <w:szCs w:val="20"/>
        </w:rPr>
        <w:t>saglyga</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zyýan</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ýetirmek</w:t>
      </w:r>
      <w:proofErr w:type="spellEnd"/>
      <w:r w:rsidRPr="00C75C37">
        <w:rPr>
          <w:rFonts w:asciiTheme="majorBidi" w:hAnsiTheme="majorBidi" w:cstheme="majorBidi"/>
          <w:color w:val="000000"/>
          <w:sz w:val="20"/>
          <w:szCs w:val="20"/>
        </w:rPr>
        <w:t xml:space="preserve"> (TKM) or </w:t>
      </w:r>
      <w:proofErr w:type="spellStart"/>
      <w:r w:rsidRPr="00C75C37">
        <w:rPr>
          <w:rFonts w:asciiTheme="majorBidi" w:hAnsiTheme="majorBidi" w:cstheme="majorBidi"/>
          <w:i/>
          <w:color w:val="000000"/>
          <w:sz w:val="20"/>
          <w:szCs w:val="20"/>
        </w:rPr>
        <w:t>ahlak</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taýdan</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ejir</w:t>
      </w:r>
      <w:proofErr w:type="spellEnd"/>
      <w:r w:rsidRPr="00C75C37">
        <w:rPr>
          <w:rFonts w:asciiTheme="majorBidi" w:hAnsiTheme="majorBidi" w:cstheme="majorBidi"/>
          <w:i/>
          <w:color w:val="000000"/>
          <w:sz w:val="20"/>
          <w:szCs w:val="20"/>
        </w:rPr>
        <w:t xml:space="preserve"> </w:t>
      </w:r>
      <w:proofErr w:type="spellStart"/>
      <w:r w:rsidRPr="00C75C37">
        <w:rPr>
          <w:rFonts w:asciiTheme="majorBidi" w:hAnsiTheme="majorBidi" w:cstheme="majorBidi"/>
          <w:i/>
          <w:color w:val="000000"/>
          <w:sz w:val="20"/>
          <w:szCs w:val="20"/>
        </w:rPr>
        <w:t>çekdirmek</w:t>
      </w:r>
      <w:proofErr w:type="spellEnd"/>
      <w:r w:rsidRPr="00C75C37">
        <w:rPr>
          <w:rFonts w:asciiTheme="majorBidi" w:hAnsiTheme="majorBidi" w:cstheme="majorBidi"/>
          <w:color w:val="000000"/>
          <w:sz w:val="20"/>
          <w:szCs w:val="20"/>
        </w:rPr>
        <w:t xml:space="preserve"> (TKM)</w:t>
      </w:r>
    </w:p>
  </w:footnote>
  <w:footnote w:id="17">
    <w:p w14:paraId="2A3360E2" w14:textId="77777777" w:rsidR="00E25222" w:rsidRPr="00C75C37" w:rsidRDefault="00920315">
      <w:pPr>
        <w:spacing w:after="0" w:line="240" w:lineRule="auto"/>
        <w:rPr>
          <w:rFonts w:asciiTheme="majorBidi"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Original languages of the Code: </w:t>
      </w:r>
      <w:proofErr w:type="spellStart"/>
      <w:r w:rsidRPr="00C75C37">
        <w:rPr>
          <w:rFonts w:asciiTheme="majorBidi" w:hAnsiTheme="majorBidi" w:cstheme="majorBidi"/>
          <w:sz w:val="20"/>
          <w:szCs w:val="20"/>
        </w:rPr>
        <w:t>опасное</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для</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жизни</w:t>
      </w:r>
      <w:proofErr w:type="spellEnd"/>
      <w:r w:rsidRPr="00C75C37">
        <w:rPr>
          <w:rFonts w:asciiTheme="majorBidi" w:hAnsiTheme="majorBidi" w:cstheme="majorBidi"/>
          <w:sz w:val="20"/>
          <w:szCs w:val="20"/>
        </w:rPr>
        <w:t xml:space="preserve"> (RUS) or </w:t>
      </w:r>
      <w:proofErr w:type="spellStart"/>
      <w:r w:rsidRPr="00C75C37">
        <w:rPr>
          <w:rFonts w:asciiTheme="majorBidi" w:hAnsiTheme="majorBidi" w:cstheme="majorBidi"/>
          <w:sz w:val="20"/>
          <w:szCs w:val="20"/>
        </w:rPr>
        <w:t>тяжкий</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jany</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üçin</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howply</w:t>
      </w:r>
      <w:proofErr w:type="spellEnd"/>
      <w:r w:rsidRPr="00C75C37">
        <w:rPr>
          <w:rFonts w:asciiTheme="majorBidi" w:hAnsiTheme="majorBidi" w:cstheme="majorBidi"/>
          <w:sz w:val="20"/>
          <w:szCs w:val="20"/>
        </w:rPr>
        <w:t xml:space="preserve"> (TKM) or </w:t>
      </w:r>
      <w:proofErr w:type="spellStart"/>
      <w:r w:rsidRPr="00C75C37">
        <w:rPr>
          <w:rFonts w:asciiTheme="majorBidi" w:hAnsiTheme="majorBidi" w:cstheme="majorBidi"/>
          <w:sz w:val="20"/>
          <w:szCs w:val="20"/>
        </w:rPr>
        <w:t>agyr</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zyýan</w:t>
      </w:r>
      <w:proofErr w:type="spellEnd"/>
      <w:r w:rsidRPr="00C75C37">
        <w:rPr>
          <w:rFonts w:asciiTheme="majorBidi" w:hAnsiTheme="majorBidi" w:cstheme="majorBidi"/>
          <w:sz w:val="20"/>
          <w:szCs w:val="20"/>
        </w:rPr>
        <w:t xml:space="preserve"> </w:t>
      </w:r>
      <w:proofErr w:type="spellStart"/>
      <w:r w:rsidRPr="00C75C37">
        <w:rPr>
          <w:rFonts w:asciiTheme="majorBidi" w:hAnsiTheme="majorBidi" w:cstheme="majorBidi"/>
          <w:sz w:val="20"/>
          <w:szCs w:val="20"/>
        </w:rPr>
        <w:t>ýetiriji</w:t>
      </w:r>
      <w:proofErr w:type="spellEnd"/>
    </w:p>
  </w:footnote>
  <w:footnote w:id="18">
    <w:p w14:paraId="10189014" w14:textId="77777777" w:rsidR="00E25222" w:rsidRPr="00C75C37" w:rsidRDefault="00920315">
      <w:pPr>
        <w:spacing w:after="0" w:line="240" w:lineRule="auto"/>
        <w:rPr>
          <w:rFonts w:asciiTheme="majorBidi" w:eastAsia="Times New Roman"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i/>
          <w:sz w:val="20"/>
          <w:szCs w:val="20"/>
        </w:rPr>
        <w:t xml:space="preserve"> Original languages of the Code: </w:t>
      </w:r>
      <w:proofErr w:type="spellStart"/>
      <w:r w:rsidRPr="00C75C37">
        <w:rPr>
          <w:rFonts w:asciiTheme="majorBidi" w:eastAsia="Times New Roman" w:hAnsiTheme="majorBidi" w:cstheme="majorBidi"/>
          <w:sz w:val="20"/>
          <w:szCs w:val="20"/>
        </w:rPr>
        <w:t>тяжкий</w:t>
      </w:r>
      <w:proofErr w:type="spellEnd"/>
      <w:r w:rsidRPr="00C75C37">
        <w:rPr>
          <w:rFonts w:asciiTheme="majorBidi" w:eastAsia="Times New Roman" w:hAnsiTheme="majorBidi" w:cstheme="majorBidi"/>
          <w:sz w:val="20"/>
          <w:szCs w:val="20"/>
        </w:rPr>
        <w:t xml:space="preserve"> (RUS); </w:t>
      </w:r>
      <w:proofErr w:type="spellStart"/>
      <w:r w:rsidRPr="00C75C37">
        <w:rPr>
          <w:rFonts w:asciiTheme="majorBidi" w:eastAsia="Times New Roman" w:hAnsiTheme="majorBidi" w:cstheme="majorBidi"/>
          <w:i/>
          <w:sz w:val="20"/>
          <w:szCs w:val="20"/>
        </w:rPr>
        <w:t>agyr</w:t>
      </w:r>
      <w:proofErr w:type="spellEnd"/>
      <w:r w:rsidRPr="00C75C37">
        <w:rPr>
          <w:rFonts w:asciiTheme="majorBidi" w:eastAsia="Times New Roman" w:hAnsiTheme="majorBidi" w:cstheme="majorBidi"/>
          <w:i/>
          <w:sz w:val="20"/>
          <w:szCs w:val="20"/>
        </w:rPr>
        <w:t xml:space="preserve"> </w:t>
      </w:r>
      <w:proofErr w:type="spellStart"/>
      <w:r w:rsidRPr="00C75C37">
        <w:rPr>
          <w:rFonts w:asciiTheme="majorBidi" w:eastAsia="Times New Roman" w:hAnsiTheme="majorBidi" w:cstheme="majorBidi"/>
          <w:i/>
          <w:sz w:val="20"/>
          <w:szCs w:val="20"/>
        </w:rPr>
        <w:t>zyýan</w:t>
      </w:r>
      <w:proofErr w:type="spellEnd"/>
      <w:r w:rsidRPr="00C75C37">
        <w:rPr>
          <w:rFonts w:asciiTheme="majorBidi" w:eastAsia="Times New Roman" w:hAnsiTheme="majorBidi" w:cstheme="majorBidi"/>
          <w:i/>
          <w:sz w:val="20"/>
          <w:szCs w:val="20"/>
        </w:rPr>
        <w:t xml:space="preserve"> </w:t>
      </w:r>
      <w:proofErr w:type="spellStart"/>
      <w:r w:rsidRPr="00C75C37">
        <w:rPr>
          <w:rFonts w:asciiTheme="majorBidi" w:eastAsia="Times New Roman" w:hAnsiTheme="majorBidi" w:cstheme="majorBidi"/>
          <w:i/>
          <w:sz w:val="20"/>
          <w:szCs w:val="20"/>
        </w:rPr>
        <w:t>ýetiriji</w:t>
      </w:r>
      <w:proofErr w:type="spellEnd"/>
      <w:r w:rsidRPr="00C75C37">
        <w:rPr>
          <w:rFonts w:asciiTheme="majorBidi" w:eastAsia="Times New Roman" w:hAnsiTheme="majorBidi" w:cstheme="majorBidi"/>
          <w:sz w:val="20"/>
          <w:szCs w:val="20"/>
        </w:rPr>
        <w:t xml:space="preserve"> (TKM) meaning for both serious and grievous</w:t>
      </w:r>
    </w:p>
  </w:footnote>
  <w:footnote w:id="19">
    <w:p w14:paraId="195BF7CE" w14:textId="77777777" w:rsidR="00E25222" w:rsidRPr="00C75C37" w:rsidRDefault="00920315">
      <w:pPr>
        <w:spacing w:after="0" w:line="240" w:lineRule="auto"/>
        <w:rPr>
          <w:rFonts w:asciiTheme="majorBidi" w:eastAsia="Times New Roman"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eastAsia="Times New Roman" w:hAnsiTheme="majorBidi" w:cstheme="majorBidi"/>
          <w:sz w:val="20"/>
          <w:szCs w:val="20"/>
        </w:rPr>
        <w:t xml:space="preserve"> Original languages of the Code: </w:t>
      </w:r>
      <w:proofErr w:type="spellStart"/>
      <w:r w:rsidRPr="00C75C37">
        <w:rPr>
          <w:rFonts w:asciiTheme="majorBidi" w:eastAsia="Times New Roman" w:hAnsiTheme="majorBidi" w:cstheme="majorBidi"/>
          <w:sz w:val="20"/>
          <w:szCs w:val="20"/>
        </w:rPr>
        <w:t>значительный</w:t>
      </w:r>
      <w:proofErr w:type="spellEnd"/>
      <w:r w:rsidRPr="00C75C37">
        <w:rPr>
          <w:rFonts w:asciiTheme="majorBidi" w:eastAsia="Times New Roman" w:hAnsiTheme="majorBidi" w:cstheme="majorBidi"/>
          <w:sz w:val="20"/>
          <w:szCs w:val="20"/>
        </w:rPr>
        <w:t xml:space="preserve"> (RUS); </w:t>
      </w:r>
      <w:r w:rsidRPr="00C75C37">
        <w:rPr>
          <w:rFonts w:asciiTheme="majorBidi" w:eastAsia="Times New Roman" w:hAnsiTheme="majorBidi" w:cstheme="majorBidi"/>
          <w:i/>
          <w:sz w:val="20"/>
          <w:szCs w:val="20"/>
        </w:rPr>
        <w:t>ep-</w:t>
      </w:r>
      <w:proofErr w:type="spellStart"/>
      <w:r w:rsidRPr="00C75C37">
        <w:rPr>
          <w:rFonts w:asciiTheme="majorBidi" w:eastAsia="Times New Roman" w:hAnsiTheme="majorBidi" w:cstheme="majorBidi"/>
          <w:i/>
          <w:sz w:val="20"/>
          <w:szCs w:val="20"/>
        </w:rPr>
        <w:t>esli</w:t>
      </w:r>
      <w:proofErr w:type="spellEnd"/>
      <w:r w:rsidRPr="00C75C37">
        <w:rPr>
          <w:rFonts w:asciiTheme="majorBidi" w:eastAsia="Times New Roman" w:hAnsiTheme="majorBidi" w:cstheme="majorBidi"/>
          <w:sz w:val="20"/>
          <w:szCs w:val="20"/>
        </w:rPr>
        <w:t xml:space="preserve"> (TKM)</w:t>
      </w:r>
    </w:p>
  </w:footnote>
  <w:footnote w:id="20">
    <w:p w14:paraId="783E5793" w14:textId="77777777" w:rsidR="00E25222" w:rsidRPr="00C75C37" w:rsidRDefault="00920315">
      <w:pPr>
        <w:spacing w:after="0" w:line="240" w:lineRule="auto"/>
        <w:rPr>
          <w:rFonts w:asciiTheme="majorBidi" w:eastAsia="Times New Roman" w:hAnsiTheme="majorBidi" w:cstheme="majorBid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sz w:val="20"/>
          <w:szCs w:val="20"/>
        </w:rPr>
        <w:t xml:space="preserve"> </w:t>
      </w:r>
      <w:r w:rsidRPr="00C75C37">
        <w:rPr>
          <w:rFonts w:asciiTheme="majorBidi" w:eastAsia="Times New Roman" w:hAnsiTheme="majorBidi" w:cstheme="majorBidi"/>
          <w:sz w:val="20"/>
          <w:szCs w:val="20"/>
        </w:rPr>
        <w:t xml:space="preserve">Original languages of the Code: </w:t>
      </w:r>
      <w:proofErr w:type="spellStart"/>
      <w:r w:rsidRPr="00C75C37">
        <w:rPr>
          <w:rFonts w:asciiTheme="majorBidi" w:eastAsia="Times New Roman" w:hAnsiTheme="majorBidi" w:cstheme="majorBidi"/>
          <w:i/>
          <w:color w:val="374151"/>
          <w:sz w:val="20"/>
          <w:szCs w:val="20"/>
        </w:rPr>
        <w:t>неизгладимый</w:t>
      </w:r>
      <w:proofErr w:type="spellEnd"/>
      <w:r w:rsidRPr="00C75C37">
        <w:rPr>
          <w:rFonts w:asciiTheme="majorBidi" w:eastAsia="Times New Roman" w:hAnsiTheme="majorBidi" w:cstheme="majorBidi"/>
          <w:color w:val="374151"/>
          <w:sz w:val="20"/>
          <w:szCs w:val="20"/>
        </w:rPr>
        <w:t xml:space="preserve"> (RUS); </w:t>
      </w:r>
      <w:proofErr w:type="spellStart"/>
      <w:r w:rsidRPr="00C75C37">
        <w:rPr>
          <w:rFonts w:asciiTheme="majorBidi" w:eastAsia="Times New Roman" w:hAnsiTheme="majorBidi" w:cstheme="majorBidi"/>
          <w:i/>
          <w:color w:val="374151"/>
          <w:sz w:val="20"/>
          <w:szCs w:val="20"/>
        </w:rPr>
        <w:t>düzedip</w:t>
      </w:r>
      <w:proofErr w:type="spellEnd"/>
      <w:r w:rsidRPr="00C75C37">
        <w:rPr>
          <w:rFonts w:asciiTheme="majorBidi" w:eastAsia="Times New Roman" w:hAnsiTheme="majorBidi" w:cstheme="majorBidi"/>
          <w:i/>
          <w:color w:val="374151"/>
          <w:sz w:val="20"/>
          <w:szCs w:val="20"/>
        </w:rPr>
        <w:t xml:space="preserve"> </w:t>
      </w:r>
      <w:proofErr w:type="spellStart"/>
      <w:r w:rsidRPr="00C75C37">
        <w:rPr>
          <w:rFonts w:asciiTheme="majorBidi" w:eastAsia="Times New Roman" w:hAnsiTheme="majorBidi" w:cstheme="majorBidi"/>
          <w:i/>
          <w:color w:val="374151"/>
          <w:sz w:val="20"/>
          <w:szCs w:val="20"/>
        </w:rPr>
        <w:t>bolmajak</w:t>
      </w:r>
      <w:proofErr w:type="spellEnd"/>
      <w:r w:rsidRPr="00C75C37">
        <w:rPr>
          <w:rFonts w:asciiTheme="majorBidi" w:eastAsia="Times New Roman" w:hAnsiTheme="majorBidi" w:cstheme="majorBidi"/>
          <w:i/>
          <w:color w:val="374151"/>
          <w:sz w:val="20"/>
          <w:szCs w:val="20"/>
        </w:rPr>
        <w:t xml:space="preserve"> </w:t>
      </w:r>
      <w:r w:rsidRPr="00C75C37">
        <w:rPr>
          <w:rFonts w:asciiTheme="majorBidi" w:eastAsia="Times New Roman" w:hAnsiTheme="majorBidi" w:cstheme="majorBidi"/>
          <w:color w:val="374151"/>
          <w:sz w:val="20"/>
          <w:szCs w:val="20"/>
        </w:rPr>
        <w:t>(TKM)</w:t>
      </w:r>
    </w:p>
  </w:footnote>
  <w:footnote w:id="21">
    <w:p w14:paraId="0AB29605" w14:textId="77777777" w:rsidR="00E25222" w:rsidRDefault="00920315">
      <w:pPr>
        <w:spacing w:after="0" w:line="240" w:lineRule="auto"/>
        <w:rPr>
          <w:i/>
          <w:sz w:val="20"/>
          <w:szCs w:val="20"/>
        </w:rPr>
      </w:pPr>
      <w:r w:rsidRPr="00C75C37">
        <w:rPr>
          <w:rFonts w:asciiTheme="majorBidi" w:hAnsiTheme="majorBidi" w:cstheme="majorBidi"/>
          <w:sz w:val="20"/>
          <w:szCs w:val="20"/>
          <w:vertAlign w:val="superscript"/>
        </w:rPr>
        <w:footnoteRef/>
      </w:r>
      <w:r w:rsidRPr="00C75C37">
        <w:rPr>
          <w:rFonts w:asciiTheme="majorBidi" w:hAnsiTheme="majorBidi" w:cstheme="majorBidi"/>
          <w:i/>
          <w:sz w:val="20"/>
          <w:szCs w:val="20"/>
        </w:rPr>
        <w:t xml:space="preserve"> Original languages of the Code: </w:t>
      </w:r>
      <w:proofErr w:type="spellStart"/>
      <w:r w:rsidRPr="00C75C37">
        <w:rPr>
          <w:rFonts w:asciiTheme="majorBidi" w:hAnsiTheme="majorBidi" w:cstheme="majorBidi"/>
          <w:i/>
          <w:sz w:val="20"/>
          <w:szCs w:val="20"/>
        </w:rPr>
        <w:t>стойкий</w:t>
      </w:r>
      <w:proofErr w:type="spellEnd"/>
      <w:r w:rsidRPr="00C75C37">
        <w:rPr>
          <w:rFonts w:asciiTheme="majorBidi" w:hAnsiTheme="majorBidi" w:cstheme="majorBidi"/>
          <w:i/>
          <w:sz w:val="20"/>
          <w:szCs w:val="20"/>
        </w:rPr>
        <w:t xml:space="preserve"> (RUS); </w:t>
      </w:r>
      <w:proofErr w:type="spellStart"/>
      <w:r w:rsidRPr="00C75C37">
        <w:rPr>
          <w:rFonts w:asciiTheme="majorBidi" w:hAnsiTheme="majorBidi" w:cstheme="majorBidi"/>
          <w:i/>
          <w:sz w:val="20"/>
          <w:szCs w:val="20"/>
        </w:rPr>
        <w:t>uzak</w:t>
      </w:r>
      <w:proofErr w:type="spellEnd"/>
      <w:r w:rsidRPr="00C75C37">
        <w:rPr>
          <w:rFonts w:asciiTheme="majorBidi" w:hAnsiTheme="majorBidi" w:cstheme="majorBidi"/>
          <w:i/>
          <w:sz w:val="20"/>
          <w:szCs w:val="20"/>
        </w:rPr>
        <w:t xml:space="preserve"> </w:t>
      </w:r>
      <w:proofErr w:type="spellStart"/>
      <w:r w:rsidRPr="00C75C37">
        <w:rPr>
          <w:rFonts w:asciiTheme="majorBidi" w:hAnsiTheme="majorBidi" w:cstheme="majorBidi"/>
          <w:i/>
          <w:sz w:val="20"/>
          <w:szCs w:val="20"/>
        </w:rPr>
        <w:t>wagtlaýyn</w:t>
      </w:r>
      <w:proofErr w:type="spellEnd"/>
      <w:r w:rsidRPr="00C75C37">
        <w:rPr>
          <w:rFonts w:asciiTheme="majorBidi" w:hAnsiTheme="majorBidi" w:cstheme="majorBidi"/>
          <w:i/>
          <w:sz w:val="20"/>
          <w:szCs w:val="20"/>
        </w:rPr>
        <w:t xml:space="preserve"> (TKM)</w:t>
      </w:r>
    </w:p>
  </w:footnote>
  <w:footnote w:id="22">
    <w:p w14:paraId="0031FBC9"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CEDAW, General Recommendation No. 35, ¶16.</w:t>
      </w:r>
    </w:p>
  </w:footnote>
  <w:footnote w:id="23">
    <w:p w14:paraId="189509D1" w14:textId="358EF57B"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w:t>
      </w:r>
      <w:r w:rsidR="00EE45FE">
        <w:rPr>
          <w:rFonts w:asciiTheme="majorBidi" w:hAnsiTheme="majorBidi" w:cstheme="majorBidi"/>
          <w:color w:val="000000"/>
          <w:sz w:val="20"/>
          <w:szCs w:val="20"/>
        </w:rPr>
        <w:t xml:space="preserve">N </w:t>
      </w:r>
      <w:r w:rsidR="00EE45FE" w:rsidRPr="00EE45FE">
        <w:rPr>
          <w:rFonts w:asciiTheme="majorBidi" w:hAnsiTheme="majorBidi" w:cstheme="majorBidi"/>
          <w:color w:val="000000"/>
          <w:sz w:val="20"/>
          <w:szCs w:val="20"/>
        </w:rPr>
        <w:t>Secretary-General</w:t>
      </w:r>
      <w:r w:rsidRPr="00051985">
        <w:rPr>
          <w:rFonts w:asciiTheme="majorBidi" w:hAnsiTheme="majorBidi" w:cstheme="majorBidi"/>
          <w:color w:val="000000"/>
          <w:sz w:val="20"/>
          <w:szCs w:val="20"/>
        </w:rPr>
        <w:t xml:space="preserve">, </w:t>
      </w:r>
      <w:r w:rsidRPr="00051985">
        <w:rPr>
          <w:rFonts w:asciiTheme="majorBidi" w:hAnsiTheme="majorBidi" w:cstheme="majorBidi"/>
          <w:i/>
          <w:color w:val="000000"/>
          <w:sz w:val="20"/>
          <w:szCs w:val="20"/>
        </w:rPr>
        <w:t xml:space="preserve">Report on Intensification of efforts to eliminate all forms of violence against women </w:t>
      </w:r>
      <w:r w:rsidRPr="00051985">
        <w:rPr>
          <w:rFonts w:asciiTheme="majorBidi" w:hAnsiTheme="majorBidi" w:cstheme="majorBidi"/>
          <w:color w:val="000000"/>
          <w:sz w:val="20"/>
          <w:szCs w:val="20"/>
        </w:rPr>
        <w:t xml:space="preserve">(2022),  ¶11, </w:t>
      </w:r>
      <w:hyperlink r:id="rId9">
        <w:r w:rsidRPr="00051985">
          <w:rPr>
            <w:rFonts w:asciiTheme="majorBidi" w:hAnsiTheme="majorBidi" w:cstheme="majorBidi"/>
            <w:color w:val="0563C1"/>
            <w:sz w:val="20"/>
            <w:szCs w:val="20"/>
            <w:u w:val="single"/>
          </w:rPr>
          <w:t>A-77-302-SG-report-EVAWG-en.pdf (unwomen.org)</w:t>
        </w:r>
      </w:hyperlink>
      <w:r w:rsidRPr="00051985">
        <w:rPr>
          <w:rFonts w:asciiTheme="majorBidi" w:hAnsiTheme="majorBidi" w:cstheme="majorBidi"/>
          <w:color w:val="000000"/>
          <w:sz w:val="20"/>
          <w:szCs w:val="20"/>
        </w:rPr>
        <w:t>.</w:t>
      </w:r>
    </w:p>
  </w:footnote>
  <w:footnote w:id="24">
    <w:p w14:paraId="28A64875"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UN Women, Criminal penalties and procedures, Dec. 22, 2023, </w:t>
      </w:r>
      <w:hyperlink r:id="rId10">
        <w:r w:rsidRPr="00051985">
          <w:rPr>
            <w:rFonts w:asciiTheme="majorBidi" w:hAnsiTheme="majorBidi" w:cstheme="majorBidi"/>
            <w:color w:val="0563C1"/>
            <w:sz w:val="20"/>
            <w:szCs w:val="20"/>
            <w:u w:val="single"/>
          </w:rPr>
          <w:t>https://endvawnow.org/en/articles/441-criminal-penalties-and-procedures.html?next=426</w:t>
        </w:r>
      </w:hyperlink>
      <w:r w:rsidRPr="00051985">
        <w:rPr>
          <w:rFonts w:asciiTheme="majorBidi" w:hAnsiTheme="majorBidi" w:cstheme="majorBidi"/>
          <w:color w:val="000000"/>
          <w:sz w:val="20"/>
          <w:szCs w:val="20"/>
        </w:rPr>
        <w:t>.</w:t>
      </w:r>
    </w:p>
  </w:footnote>
  <w:footnote w:id="25">
    <w:p w14:paraId="0E3674D3"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UN Women, </w:t>
      </w:r>
      <w:r w:rsidRPr="00051985">
        <w:rPr>
          <w:rFonts w:asciiTheme="majorBidi" w:hAnsiTheme="majorBidi" w:cstheme="majorBidi"/>
          <w:i/>
          <w:color w:val="000000"/>
          <w:sz w:val="20"/>
          <w:szCs w:val="20"/>
        </w:rPr>
        <w:t>UN Handbook for Legislation on Violence against Women (2012)</w:t>
      </w:r>
      <w:r w:rsidRPr="00051985">
        <w:rPr>
          <w:rFonts w:asciiTheme="majorBidi" w:hAnsiTheme="majorBidi" w:cstheme="majorBidi"/>
          <w:color w:val="000000"/>
          <w:sz w:val="20"/>
          <w:szCs w:val="20"/>
        </w:rPr>
        <w:t xml:space="preserve">, Section 3.11.1, </w:t>
      </w:r>
      <w:hyperlink r:id="rId11">
        <w:r w:rsidRPr="00051985">
          <w:rPr>
            <w:rFonts w:asciiTheme="majorBidi" w:hAnsiTheme="majorBidi" w:cstheme="majorBidi"/>
            <w:color w:val="0563C1"/>
            <w:sz w:val="20"/>
            <w:szCs w:val="20"/>
            <w:u w:val="single"/>
          </w:rPr>
          <w:t>https://www.un.org/womenwatch/daw/vaw/handbook/Handbook%20for%20legislation%20on%20violence%20against%20women.pdf</w:t>
        </w:r>
      </w:hyperlink>
      <w:r w:rsidRPr="00051985">
        <w:rPr>
          <w:rFonts w:asciiTheme="majorBidi" w:hAnsiTheme="majorBidi" w:cstheme="majorBidi"/>
          <w:color w:val="000000"/>
          <w:sz w:val="20"/>
          <w:szCs w:val="20"/>
        </w:rPr>
        <w:t>., accessed Dec. 22, 2023.</w:t>
      </w:r>
    </w:p>
  </w:footnote>
  <w:footnote w:id="26">
    <w:p w14:paraId="5A2C70CF" w14:textId="77777777" w:rsidR="00E25222" w:rsidRDefault="00920315">
      <w:pPr>
        <w:pBdr>
          <w:top w:val="nil"/>
          <w:left w:val="nil"/>
          <w:bottom w:val="nil"/>
          <w:right w:val="nil"/>
          <w:between w:val="nil"/>
        </w:pBdr>
        <w:spacing w:after="0" w:line="240" w:lineRule="auto"/>
        <w:rPr>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UN Women, Criminal penalties and procedures, Dec. 22, 2023, </w:t>
      </w:r>
      <w:hyperlink r:id="rId12">
        <w:r w:rsidRPr="00051985">
          <w:rPr>
            <w:rFonts w:asciiTheme="majorBidi" w:hAnsiTheme="majorBidi" w:cstheme="majorBidi"/>
            <w:color w:val="0563C1"/>
            <w:sz w:val="20"/>
            <w:szCs w:val="20"/>
            <w:u w:val="single"/>
          </w:rPr>
          <w:t>https://endvawnow.org/en/articles/441-criminal-penalties-and-procedures.html?next=426</w:t>
        </w:r>
      </w:hyperlink>
      <w:r w:rsidRPr="00051985">
        <w:rPr>
          <w:rFonts w:asciiTheme="majorBidi" w:hAnsiTheme="majorBidi" w:cstheme="majorBidi"/>
          <w:color w:val="000000"/>
          <w:sz w:val="20"/>
          <w:szCs w:val="20"/>
        </w:rPr>
        <w:t>.</w:t>
      </w:r>
    </w:p>
  </w:footnote>
  <w:footnote w:id="27">
    <w:p w14:paraId="75F08AD7"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UN Women, </w:t>
      </w:r>
      <w:r w:rsidRPr="00051985">
        <w:rPr>
          <w:rFonts w:asciiTheme="majorBidi" w:hAnsiTheme="majorBidi" w:cstheme="majorBidi"/>
          <w:i/>
          <w:color w:val="000000"/>
          <w:sz w:val="20"/>
          <w:szCs w:val="20"/>
        </w:rPr>
        <w:t>UN Handbook for Legislation on Violence against Women (2012)</w:t>
      </w:r>
      <w:r w:rsidRPr="00051985">
        <w:rPr>
          <w:rFonts w:asciiTheme="majorBidi" w:hAnsiTheme="majorBidi" w:cstheme="majorBidi"/>
          <w:color w:val="000000"/>
          <w:sz w:val="20"/>
          <w:szCs w:val="20"/>
        </w:rPr>
        <w:t xml:space="preserve">, Section 3.4.3.1, </w:t>
      </w:r>
      <w:hyperlink r:id="rId13">
        <w:r w:rsidRPr="00051985">
          <w:rPr>
            <w:rFonts w:asciiTheme="majorBidi" w:hAnsiTheme="majorBidi" w:cstheme="majorBidi"/>
            <w:color w:val="0563C1"/>
            <w:sz w:val="20"/>
            <w:szCs w:val="20"/>
            <w:u w:val="single"/>
          </w:rPr>
          <w:t>https://www.un.org/womenwatch/daw/vaw/handbook/Handbook%20for%20legislation%20on%20violence%20against%20women.pdf</w:t>
        </w:r>
      </w:hyperlink>
      <w:r w:rsidRPr="00051985">
        <w:rPr>
          <w:rFonts w:asciiTheme="majorBidi" w:hAnsiTheme="majorBidi" w:cstheme="majorBidi"/>
          <w:color w:val="000000"/>
          <w:sz w:val="20"/>
          <w:szCs w:val="20"/>
        </w:rPr>
        <w:t>., accessed Dec. 22, 2023.</w:t>
      </w:r>
    </w:p>
  </w:footnote>
  <w:footnote w:id="28">
    <w:p w14:paraId="280B4B8C" w14:textId="246E4187" w:rsidR="00E25222" w:rsidRDefault="00920315">
      <w:pPr>
        <w:pBdr>
          <w:top w:val="nil"/>
          <w:left w:val="nil"/>
          <w:bottom w:val="nil"/>
          <w:right w:val="nil"/>
          <w:between w:val="nil"/>
        </w:pBdr>
        <w:spacing w:after="0" w:line="240" w:lineRule="auto"/>
        <w:rPr>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w:t>
      </w:r>
      <w:r w:rsidR="00051985" w:rsidRPr="00051985">
        <w:rPr>
          <w:rFonts w:asciiTheme="majorBidi" w:hAnsiTheme="majorBidi" w:cstheme="majorBidi"/>
          <w:color w:val="000000"/>
          <w:sz w:val="20"/>
          <w:szCs w:val="20"/>
        </w:rPr>
        <w:t xml:space="preserve">UN </w:t>
      </w:r>
      <w:r w:rsidRPr="00051985">
        <w:rPr>
          <w:rFonts w:asciiTheme="majorBidi" w:hAnsiTheme="majorBidi" w:cstheme="majorBidi"/>
          <w:color w:val="000000"/>
          <w:sz w:val="20"/>
          <w:szCs w:val="20"/>
        </w:rPr>
        <w:t xml:space="preserve">Special Rapporteur on Violence against Women, </w:t>
      </w:r>
      <w:r w:rsidRPr="00051985">
        <w:rPr>
          <w:rFonts w:asciiTheme="majorBidi" w:hAnsiTheme="majorBidi" w:cstheme="majorBidi"/>
          <w:i/>
          <w:color w:val="000000"/>
          <w:sz w:val="20"/>
          <w:szCs w:val="20"/>
        </w:rPr>
        <w:t>A framework for legislation on rape (model rape law)</w:t>
      </w:r>
      <w:r w:rsidRPr="00051985">
        <w:rPr>
          <w:rFonts w:asciiTheme="majorBidi" w:hAnsiTheme="majorBidi" w:cstheme="majorBidi"/>
          <w:color w:val="000000"/>
          <w:sz w:val="20"/>
          <w:szCs w:val="20"/>
        </w:rPr>
        <w:t xml:space="preserve"> (July 2021), </w:t>
      </w:r>
      <w:hyperlink r:id="rId14">
        <w:r w:rsidRPr="00051985">
          <w:rPr>
            <w:rFonts w:asciiTheme="majorBidi" w:hAnsiTheme="majorBidi" w:cstheme="majorBidi"/>
            <w:color w:val="0563C1"/>
            <w:sz w:val="20"/>
            <w:szCs w:val="20"/>
            <w:u w:val="single"/>
          </w:rPr>
          <w:t>A framework for legislation on rape (Model Rape Law) : (un.org)</w:t>
        </w:r>
      </w:hyperlink>
      <w:r w:rsidRPr="00051985">
        <w:rPr>
          <w:rFonts w:asciiTheme="majorBidi" w:hAnsiTheme="majorBidi" w:cstheme="majorBidi"/>
          <w:color w:val="000000"/>
          <w:sz w:val="20"/>
          <w:szCs w:val="20"/>
        </w:rPr>
        <w:t>, accessed Dec. 22, 2023, 7.</w:t>
      </w:r>
      <w:r>
        <w:rPr>
          <w:color w:val="000000"/>
          <w:sz w:val="20"/>
          <w:szCs w:val="20"/>
        </w:rPr>
        <w:t xml:space="preserve">  </w:t>
      </w:r>
    </w:p>
  </w:footnote>
  <w:footnote w:id="29">
    <w:p w14:paraId="545E13FF" w14:textId="0C59732E"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w:t>
      </w:r>
      <w:r w:rsidR="00051985">
        <w:rPr>
          <w:rFonts w:asciiTheme="majorBidi" w:hAnsiTheme="majorBidi" w:cstheme="majorBidi"/>
          <w:color w:val="000000"/>
          <w:sz w:val="20"/>
          <w:szCs w:val="20"/>
        </w:rPr>
        <w:t xml:space="preserve">UN </w:t>
      </w:r>
      <w:r w:rsidRPr="00051985">
        <w:rPr>
          <w:rFonts w:asciiTheme="majorBidi" w:hAnsiTheme="majorBidi" w:cstheme="majorBidi"/>
          <w:color w:val="000000"/>
          <w:sz w:val="20"/>
          <w:szCs w:val="20"/>
        </w:rPr>
        <w:t xml:space="preserve">Special Rapporteur on Violence against Women, </w:t>
      </w:r>
      <w:r w:rsidRPr="00051985">
        <w:rPr>
          <w:rFonts w:asciiTheme="majorBidi" w:hAnsiTheme="majorBidi" w:cstheme="majorBidi"/>
          <w:i/>
          <w:color w:val="000000"/>
          <w:sz w:val="20"/>
          <w:szCs w:val="20"/>
        </w:rPr>
        <w:t>A framework for legislation on rape (model rape law)</w:t>
      </w:r>
      <w:r w:rsidRPr="00051985">
        <w:rPr>
          <w:rFonts w:asciiTheme="majorBidi" w:hAnsiTheme="majorBidi" w:cstheme="majorBidi"/>
          <w:color w:val="000000"/>
          <w:sz w:val="20"/>
          <w:szCs w:val="20"/>
        </w:rPr>
        <w:t xml:space="preserve"> (July 2021), </w:t>
      </w:r>
      <w:hyperlink r:id="rId15">
        <w:r w:rsidRPr="00051985">
          <w:rPr>
            <w:rFonts w:asciiTheme="majorBidi" w:hAnsiTheme="majorBidi" w:cstheme="majorBidi"/>
            <w:color w:val="0563C1"/>
            <w:sz w:val="20"/>
            <w:szCs w:val="20"/>
            <w:u w:val="single"/>
          </w:rPr>
          <w:t>A framework for legislation on rape (Model Rape Law) : (un.org)</w:t>
        </w:r>
      </w:hyperlink>
      <w:r w:rsidRPr="00051985">
        <w:rPr>
          <w:rFonts w:asciiTheme="majorBidi" w:hAnsiTheme="majorBidi" w:cstheme="majorBidi"/>
          <w:color w:val="000000"/>
          <w:sz w:val="20"/>
          <w:szCs w:val="20"/>
        </w:rPr>
        <w:t xml:space="preserve">, accessed Dec. 22, 2023, 7.  </w:t>
      </w:r>
    </w:p>
  </w:footnote>
  <w:footnote w:id="30">
    <w:p w14:paraId="38320B2F" w14:textId="4C5B6DE5"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w:t>
      </w:r>
      <w:r w:rsidR="00051985">
        <w:rPr>
          <w:rFonts w:asciiTheme="majorBidi" w:hAnsiTheme="majorBidi" w:cstheme="majorBidi"/>
          <w:color w:val="000000"/>
          <w:sz w:val="20"/>
          <w:szCs w:val="20"/>
        </w:rPr>
        <w:t xml:space="preserve">UN </w:t>
      </w:r>
      <w:r w:rsidRPr="00051985">
        <w:rPr>
          <w:rFonts w:asciiTheme="majorBidi" w:hAnsiTheme="majorBidi" w:cstheme="majorBidi"/>
          <w:color w:val="000000"/>
          <w:sz w:val="20"/>
          <w:szCs w:val="20"/>
        </w:rPr>
        <w:t xml:space="preserve">Special Rapporteur on Violence against Women, </w:t>
      </w:r>
      <w:r w:rsidRPr="00051985">
        <w:rPr>
          <w:rFonts w:asciiTheme="majorBidi" w:hAnsiTheme="majorBidi" w:cstheme="majorBidi"/>
          <w:i/>
          <w:color w:val="000000"/>
          <w:sz w:val="20"/>
          <w:szCs w:val="20"/>
        </w:rPr>
        <w:t>A framework for legislation on rape (model rape law)</w:t>
      </w:r>
      <w:r w:rsidRPr="00051985">
        <w:rPr>
          <w:rFonts w:asciiTheme="majorBidi" w:hAnsiTheme="majorBidi" w:cstheme="majorBidi"/>
          <w:color w:val="000000"/>
          <w:sz w:val="20"/>
          <w:szCs w:val="20"/>
        </w:rPr>
        <w:t xml:space="preserve"> (July 2021), </w:t>
      </w:r>
      <w:hyperlink r:id="rId16">
        <w:r w:rsidRPr="00051985">
          <w:rPr>
            <w:rFonts w:asciiTheme="majorBidi" w:hAnsiTheme="majorBidi" w:cstheme="majorBidi"/>
            <w:color w:val="0563C1"/>
            <w:sz w:val="20"/>
            <w:szCs w:val="20"/>
            <w:u w:val="single"/>
          </w:rPr>
          <w:t>A framework for legislation on rape (Model Rape Law) : (un.org)</w:t>
        </w:r>
      </w:hyperlink>
      <w:r w:rsidRPr="00051985">
        <w:rPr>
          <w:rFonts w:asciiTheme="majorBidi" w:hAnsiTheme="majorBidi" w:cstheme="majorBidi"/>
          <w:color w:val="000000"/>
          <w:sz w:val="20"/>
          <w:szCs w:val="20"/>
        </w:rPr>
        <w:t xml:space="preserve">, accessed Dec. 22, 2023, 7.  </w:t>
      </w:r>
    </w:p>
  </w:footnote>
  <w:footnote w:id="31">
    <w:p w14:paraId="72E3D2FA"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Council of Europe Convention on preventing and combating violence against women and domestic violence, 2011, art. 36, available at </w:t>
      </w:r>
      <w:hyperlink r:id="rId17">
        <w:r w:rsidRPr="00051985">
          <w:rPr>
            <w:rFonts w:asciiTheme="majorBidi" w:hAnsiTheme="majorBidi" w:cstheme="majorBidi"/>
            <w:color w:val="0563C1"/>
            <w:sz w:val="20"/>
            <w:szCs w:val="20"/>
            <w:u w:val="single"/>
          </w:rPr>
          <w:t>https://rm.coe.int/168046031c</w:t>
        </w:r>
      </w:hyperlink>
      <w:r w:rsidRPr="00051985">
        <w:rPr>
          <w:rFonts w:asciiTheme="majorBidi" w:hAnsiTheme="majorBidi" w:cstheme="majorBidi"/>
          <w:color w:val="000000"/>
          <w:sz w:val="20"/>
          <w:szCs w:val="20"/>
        </w:rPr>
        <w:t xml:space="preserve">. </w:t>
      </w:r>
    </w:p>
  </w:footnote>
  <w:footnote w:id="32">
    <w:p w14:paraId="2921B6E9" w14:textId="6DFDFFBF"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w:t>
      </w:r>
      <w:r w:rsidR="00051985">
        <w:rPr>
          <w:rFonts w:asciiTheme="majorBidi" w:hAnsiTheme="majorBidi" w:cstheme="majorBidi"/>
          <w:color w:val="000000"/>
          <w:sz w:val="20"/>
          <w:szCs w:val="20"/>
        </w:rPr>
        <w:t xml:space="preserve">UN </w:t>
      </w:r>
      <w:r w:rsidRPr="00051985">
        <w:rPr>
          <w:rFonts w:asciiTheme="majorBidi" w:hAnsiTheme="majorBidi" w:cstheme="majorBidi"/>
          <w:color w:val="000000"/>
          <w:sz w:val="20"/>
          <w:szCs w:val="20"/>
        </w:rPr>
        <w:t xml:space="preserve">Special Rapporteur on Violence against Women, </w:t>
      </w:r>
      <w:r w:rsidRPr="00051985">
        <w:rPr>
          <w:rFonts w:asciiTheme="majorBidi" w:hAnsiTheme="majorBidi" w:cstheme="majorBidi"/>
          <w:i/>
          <w:color w:val="000000"/>
          <w:sz w:val="20"/>
          <w:szCs w:val="20"/>
        </w:rPr>
        <w:t>A framework for legislation on rape (model rape law)</w:t>
      </w:r>
      <w:r w:rsidRPr="00051985">
        <w:rPr>
          <w:rFonts w:asciiTheme="majorBidi" w:hAnsiTheme="majorBidi" w:cstheme="majorBidi"/>
          <w:color w:val="000000"/>
          <w:sz w:val="20"/>
          <w:szCs w:val="20"/>
        </w:rPr>
        <w:t xml:space="preserve"> (July 2021), </w:t>
      </w:r>
      <w:hyperlink r:id="rId18">
        <w:r w:rsidRPr="00051985">
          <w:rPr>
            <w:rFonts w:asciiTheme="majorBidi" w:hAnsiTheme="majorBidi" w:cstheme="majorBidi"/>
            <w:color w:val="0563C1"/>
            <w:sz w:val="20"/>
            <w:szCs w:val="20"/>
            <w:u w:val="single"/>
          </w:rPr>
          <w:t>A framework for legislation on rape (Model Rape Law) : (un.org)</w:t>
        </w:r>
      </w:hyperlink>
      <w:r w:rsidRPr="00051985">
        <w:rPr>
          <w:rFonts w:asciiTheme="majorBidi" w:hAnsiTheme="majorBidi" w:cstheme="majorBidi"/>
          <w:color w:val="000000"/>
          <w:sz w:val="20"/>
          <w:szCs w:val="20"/>
        </w:rPr>
        <w:t>, accessed Dec. 22, 2023, 6-7.</w:t>
      </w:r>
    </w:p>
  </w:footnote>
  <w:footnote w:id="33">
    <w:p w14:paraId="0D72C650" w14:textId="70CD1614" w:rsidR="00E25222" w:rsidRDefault="00920315">
      <w:pPr>
        <w:pBdr>
          <w:top w:val="nil"/>
          <w:left w:val="nil"/>
          <w:bottom w:val="nil"/>
          <w:right w:val="nil"/>
          <w:between w:val="nil"/>
        </w:pBdr>
        <w:spacing w:after="0" w:line="240" w:lineRule="auto"/>
        <w:rPr>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w:t>
      </w:r>
      <w:r w:rsidR="00051985">
        <w:rPr>
          <w:rFonts w:asciiTheme="majorBidi" w:hAnsiTheme="majorBidi" w:cstheme="majorBidi"/>
          <w:color w:val="000000"/>
          <w:sz w:val="20"/>
          <w:szCs w:val="20"/>
        </w:rPr>
        <w:t xml:space="preserve">UN </w:t>
      </w:r>
      <w:r w:rsidRPr="00051985">
        <w:rPr>
          <w:rFonts w:asciiTheme="majorBidi" w:hAnsiTheme="majorBidi" w:cstheme="majorBidi"/>
          <w:color w:val="000000"/>
          <w:sz w:val="20"/>
          <w:szCs w:val="20"/>
        </w:rPr>
        <w:t xml:space="preserve">Special Rapporteur on Violence against Women, </w:t>
      </w:r>
      <w:r w:rsidRPr="00051985">
        <w:rPr>
          <w:rFonts w:asciiTheme="majorBidi" w:hAnsiTheme="majorBidi" w:cstheme="majorBidi"/>
          <w:i/>
          <w:color w:val="000000"/>
          <w:sz w:val="20"/>
          <w:szCs w:val="20"/>
        </w:rPr>
        <w:t>A framework for legislation on rape (model rape law)</w:t>
      </w:r>
      <w:r w:rsidRPr="00051985">
        <w:rPr>
          <w:rFonts w:asciiTheme="majorBidi" w:hAnsiTheme="majorBidi" w:cstheme="majorBidi"/>
          <w:color w:val="000000"/>
          <w:sz w:val="20"/>
          <w:szCs w:val="20"/>
        </w:rPr>
        <w:t xml:space="preserve"> (July 2021), </w:t>
      </w:r>
      <w:hyperlink r:id="rId19">
        <w:r w:rsidRPr="00051985">
          <w:rPr>
            <w:rFonts w:asciiTheme="majorBidi" w:hAnsiTheme="majorBidi" w:cstheme="majorBidi"/>
            <w:color w:val="0563C1"/>
            <w:sz w:val="20"/>
            <w:szCs w:val="20"/>
            <w:u w:val="single"/>
          </w:rPr>
          <w:t>A framework for legislation on rape (Model Rape Law) : (un.org)</w:t>
        </w:r>
      </w:hyperlink>
      <w:r w:rsidRPr="00051985">
        <w:rPr>
          <w:rFonts w:asciiTheme="majorBidi" w:hAnsiTheme="majorBidi" w:cstheme="majorBidi"/>
          <w:color w:val="000000"/>
          <w:sz w:val="20"/>
          <w:szCs w:val="20"/>
        </w:rPr>
        <w:t>, accessed Dec. 22, 2023, 6-7.</w:t>
      </w:r>
    </w:p>
  </w:footnote>
  <w:footnote w:id="34">
    <w:p w14:paraId="072EB159"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MN Statute §609.341 subd. 11.</w:t>
      </w:r>
    </w:p>
  </w:footnote>
  <w:footnote w:id="35">
    <w:p w14:paraId="25566559" w14:textId="77777777" w:rsidR="00E25222" w:rsidRPr="00051985" w:rsidRDefault="00920315">
      <w:pPr>
        <w:pBdr>
          <w:top w:val="nil"/>
          <w:left w:val="nil"/>
          <w:bottom w:val="nil"/>
          <w:right w:val="nil"/>
          <w:between w:val="nil"/>
        </w:pBdr>
        <w:spacing w:after="0" w:line="240" w:lineRule="auto"/>
        <w:rPr>
          <w:rFonts w:asciiTheme="majorBidi" w:hAnsiTheme="majorBidi" w:cstheme="majorBidi"/>
          <w:b/>
          <w:color w:val="000000"/>
          <w:sz w:val="20"/>
          <w:szCs w:val="20"/>
        </w:rPr>
      </w:pPr>
      <w:r>
        <w:rPr>
          <w:vertAlign w:val="superscript"/>
        </w:rPr>
        <w:footnoteRef/>
      </w:r>
      <w:r>
        <w:rPr>
          <w:color w:val="000000"/>
          <w:sz w:val="20"/>
          <w:szCs w:val="20"/>
        </w:rPr>
        <w:t xml:space="preserve"> </w:t>
      </w:r>
      <w:r>
        <w:rPr>
          <w:i/>
          <w:color w:val="000000"/>
          <w:sz w:val="20"/>
          <w:szCs w:val="20"/>
        </w:rPr>
        <w:t>National Domestic Violence Prosecution : Best Practices Guide</w:t>
      </w:r>
      <w:r>
        <w:rPr>
          <w:color w:val="000000"/>
          <w:sz w:val="20"/>
          <w:szCs w:val="20"/>
        </w:rPr>
        <w:t xml:space="preserve"> (revised 202</w:t>
      </w:r>
      <w:r w:rsidRPr="00051985">
        <w:rPr>
          <w:rFonts w:asciiTheme="majorBidi" w:hAnsiTheme="majorBidi" w:cstheme="majorBidi"/>
          <w:color w:val="000000"/>
          <w:sz w:val="20"/>
          <w:szCs w:val="20"/>
        </w:rPr>
        <w:t xml:space="preserve">0), 7, </w:t>
      </w:r>
      <w:hyperlink r:id="rId20">
        <w:r w:rsidRPr="00051985">
          <w:rPr>
            <w:rFonts w:asciiTheme="majorBidi" w:hAnsiTheme="majorBidi" w:cstheme="majorBidi"/>
            <w:color w:val="0563C1"/>
            <w:sz w:val="20"/>
            <w:szCs w:val="20"/>
            <w:u w:val="single"/>
          </w:rPr>
          <w:t>https://ndaa.org/wp-content/uploads/NDAA-DV-White-Paper-FINAL-revised-June-23-2020-1.pdf</w:t>
        </w:r>
      </w:hyperlink>
      <w:r w:rsidRPr="00051985">
        <w:rPr>
          <w:rFonts w:asciiTheme="majorBidi" w:hAnsiTheme="majorBidi" w:cstheme="majorBidi"/>
          <w:color w:val="000000"/>
          <w:sz w:val="20"/>
          <w:szCs w:val="20"/>
        </w:rPr>
        <w:t xml:space="preserve">. </w:t>
      </w:r>
    </w:p>
  </w:footnote>
  <w:footnote w:id="36">
    <w:p w14:paraId="7E7ABBC7"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UN Women, </w:t>
      </w:r>
      <w:r w:rsidRPr="00051985">
        <w:rPr>
          <w:rFonts w:asciiTheme="majorBidi" w:hAnsiTheme="majorBidi" w:cstheme="majorBidi"/>
          <w:i/>
          <w:color w:val="000000"/>
          <w:sz w:val="20"/>
          <w:szCs w:val="20"/>
        </w:rPr>
        <w:t>UN Handbook for Legislation on Violence against Women (2012)</w:t>
      </w:r>
      <w:r w:rsidRPr="00051985">
        <w:rPr>
          <w:rFonts w:asciiTheme="majorBidi" w:hAnsiTheme="majorBidi" w:cstheme="majorBidi"/>
          <w:color w:val="000000"/>
          <w:sz w:val="20"/>
          <w:szCs w:val="20"/>
        </w:rPr>
        <w:t xml:space="preserve">, Section 3.8.3, </w:t>
      </w:r>
      <w:hyperlink r:id="rId21">
        <w:r w:rsidRPr="00051985">
          <w:rPr>
            <w:rFonts w:asciiTheme="majorBidi" w:hAnsiTheme="majorBidi" w:cstheme="majorBidi"/>
            <w:color w:val="0563C1"/>
            <w:sz w:val="20"/>
            <w:szCs w:val="20"/>
            <w:u w:val="single"/>
          </w:rPr>
          <w:t>https://www.un.org/womenwatch/daw/vaw/handbook/Handbook%20for%20legislation%20on%20violence%20against%20women.pdf</w:t>
        </w:r>
      </w:hyperlink>
      <w:r w:rsidRPr="00051985">
        <w:rPr>
          <w:rFonts w:asciiTheme="majorBidi" w:hAnsiTheme="majorBidi" w:cstheme="majorBidi"/>
          <w:color w:val="000000"/>
          <w:sz w:val="20"/>
          <w:szCs w:val="20"/>
        </w:rPr>
        <w:t>., accessed Dec. 22, 2023.</w:t>
      </w:r>
    </w:p>
  </w:footnote>
  <w:footnote w:id="37">
    <w:p w14:paraId="4582C731" w14:textId="77777777" w:rsidR="00E25222" w:rsidRPr="00051985" w:rsidRDefault="00920315">
      <w:pPr>
        <w:pBdr>
          <w:top w:val="nil"/>
          <w:left w:val="nil"/>
          <w:bottom w:val="nil"/>
          <w:right w:val="nil"/>
          <w:between w:val="nil"/>
        </w:pBdr>
        <w:spacing w:after="0" w:line="240" w:lineRule="auto"/>
        <w:rPr>
          <w:rFonts w:asciiTheme="majorBidi" w:eastAsia="Times New Roman"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eastAsia="Times New Roman" w:hAnsiTheme="majorBidi" w:cstheme="majorBidi"/>
          <w:color w:val="000000"/>
          <w:sz w:val="20"/>
          <w:szCs w:val="20"/>
        </w:rPr>
        <w:t xml:space="preserve"> U.N. Good practices in legislation on Violence against Women (2008), Section 7, 39 – 50, available at  </w:t>
      </w:r>
      <w:hyperlink r:id="rId22">
        <w:r w:rsidRPr="00051985">
          <w:rPr>
            <w:rFonts w:asciiTheme="majorBidi" w:eastAsia="Times New Roman" w:hAnsiTheme="majorBidi" w:cstheme="majorBidi"/>
            <w:i/>
            <w:color w:val="0563C1"/>
            <w:sz w:val="20"/>
            <w:szCs w:val="20"/>
            <w:u w:val="single"/>
          </w:rPr>
          <w:t>http://www.un.org/womenwatch/daw/egm/vaw_legislation_2008/Report%20EGMGPLVAW%20(final%2011.11.08).pdf</w:t>
        </w:r>
      </w:hyperlink>
      <w:r w:rsidRPr="00051985">
        <w:rPr>
          <w:rFonts w:asciiTheme="majorBidi" w:eastAsia="Times New Roman" w:hAnsiTheme="majorBidi" w:cstheme="majorBidi"/>
          <w:i/>
          <w:color w:val="0563C1"/>
          <w:sz w:val="20"/>
          <w:szCs w:val="20"/>
          <w:u w:val="single"/>
        </w:rPr>
        <w:t>.</w:t>
      </w:r>
      <w:r w:rsidRPr="00051985">
        <w:rPr>
          <w:rFonts w:asciiTheme="majorBidi" w:eastAsia="Times New Roman" w:hAnsiTheme="majorBidi" w:cstheme="majorBidi"/>
          <w:color w:val="000000"/>
          <w:sz w:val="20"/>
          <w:szCs w:val="20"/>
        </w:rPr>
        <w:t xml:space="preserve">  </w:t>
      </w:r>
    </w:p>
  </w:footnote>
  <w:footnote w:id="38">
    <w:p w14:paraId="45206D0E" w14:textId="77777777" w:rsidR="00E25222" w:rsidRPr="00051985" w:rsidRDefault="00920315">
      <w:pPr>
        <w:pBdr>
          <w:top w:val="nil"/>
          <w:left w:val="nil"/>
          <w:bottom w:val="nil"/>
          <w:right w:val="nil"/>
          <w:between w:val="nil"/>
        </w:pBdr>
        <w:spacing w:after="0" w:line="240" w:lineRule="auto"/>
        <w:rPr>
          <w:rFonts w:asciiTheme="majorBidi" w:hAnsiTheme="majorBidi" w:cstheme="majorBidi"/>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Council of Europe, </w:t>
      </w:r>
      <w:r w:rsidRPr="00051985">
        <w:rPr>
          <w:rFonts w:asciiTheme="majorBidi" w:eastAsia="Times New Roman" w:hAnsiTheme="majorBidi" w:cstheme="majorBidi"/>
          <w:i/>
          <w:color w:val="000000"/>
          <w:sz w:val="20"/>
          <w:szCs w:val="20"/>
        </w:rPr>
        <w:t>Combating violence against women: minimum standards for support services</w:t>
      </w:r>
      <w:r w:rsidRPr="00051985">
        <w:rPr>
          <w:rFonts w:asciiTheme="majorBidi" w:eastAsia="Times New Roman" w:hAnsiTheme="majorBidi" w:cstheme="majorBidi"/>
          <w:color w:val="000000"/>
          <w:sz w:val="20"/>
          <w:szCs w:val="20"/>
        </w:rPr>
        <w:t xml:space="preserve"> (2008), </w:t>
      </w:r>
      <w:hyperlink r:id="rId23">
        <w:proofErr w:type="spellStart"/>
        <w:r w:rsidRPr="00051985">
          <w:rPr>
            <w:rFonts w:asciiTheme="majorBidi" w:hAnsiTheme="majorBidi" w:cstheme="majorBidi"/>
            <w:color w:val="0563C1"/>
            <w:sz w:val="20"/>
            <w:szCs w:val="20"/>
            <w:u w:val="single"/>
          </w:rPr>
          <w:t>cover_en.cdr</w:t>
        </w:r>
        <w:proofErr w:type="spellEnd"/>
        <w:r w:rsidRPr="00051985">
          <w:rPr>
            <w:rFonts w:asciiTheme="majorBidi" w:hAnsiTheme="majorBidi" w:cstheme="majorBidi"/>
            <w:color w:val="0563C1"/>
            <w:sz w:val="20"/>
            <w:szCs w:val="20"/>
            <w:u w:val="single"/>
          </w:rPr>
          <w:t xml:space="preserve"> (coe.int)</w:t>
        </w:r>
      </w:hyperlink>
      <w:r w:rsidRPr="00051985">
        <w:rPr>
          <w:rFonts w:asciiTheme="majorBidi" w:hAnsiTheme="majorBidi" w:cstheme="majorBidi"/>
          <w:color w:val="000000"/>
          <w:sz w:val="20"/>
          <w:szCs w:val="20"/>
        </w:rPr>
        <w:t>.</w:t>
      </w:r>
    </w:p>
  </w:footnote>
  <w:footnote w:id="39">
    <w:p w14:paraId="08048C27" w14:textId="77777777" w:rsidR="00E25222" w:rsidRDefault="00920315">
      <w:pPr>
        <w:pBdr>
          <w:top w:val="nil"/>
          <w:left w:val="nil"/>
          <w:bottom w:val="nil"/>
          <w:right w:val="nil"/>
          <w:between w:val="nil"/>
        </w:pBdr>
        <w:spacing w:after="0" w:line="240" w:lineRule="auto"/>
        <w:rPr>
          <w:color w:val="000000"/>
          <w:sz w:val="20"/>
          <w:szCs w:val="20"/>
        </w:rPr>
      </w:pPr>
      <w:r w:rsidRPr="00051985">
        <w:rPr>
          <w:rFonts w:asciiTheme="majorBidi" w:hAnsiTheme="majorBidi" w:cstheme="majorBidi"/>
          <w:sz w:val="20"/>
          <w:szCs w:val="20"/>
          <w:vertAlign w:val="superscript"/>
        </w:rPr>
        <w:footnoteRef/>
      </w:r>
      <w:r w:rsidRPr="00051985">
        <w:rPr>
          <w:rFonts w:asciiTheme="majorBidi" w:hAnsiTheme="majorBidi" w:cstheme="majorBidi"/>
          <w:color w:val="000000"/>
          <w:sz w:val="20"/>
          <w:szCs w:val="20"/>
        </w:rPr>
        <w:t xml:space="preserve"> US Department of Justice, </w:t>
      </w:r>
      <w:r w:rsidRPr="00051985">
        <w:rPr>
          <w:rFonts w:asciiTheme="majorBidi" w:hAnsiTheme="majorBidi" w:cstheme="majorBidi"/>
          <w:i/>
          <w:color w:val="000000"/>
          <w:sz w:val="20"/>
          <w:szCs w:val="20"/>
        </w:rPr>
        <w:t>Family Violence: A Model State Code</w:t>
      </w:r>
      <w:r w:rsidRPr="00051985">
        <w:rPr>
          <w:rFonts w:asciiTheme="majorBidi" w:hAnsiTheme="majorBidi" w:cstheme="majorBidi"/>
          <w:color w:val="000000"/>
          <w:sz w:val="20"/>
          <w:szCs w:val="20"/>
        </w:rPr>
        <w:t xml:space="preserve"> (1994),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589A" w14:textId="77777777" w:rsidR="00E25222" w:rsidRDefault="00E25222">
    <w:pPr>
      <w:pBdr>
        <w:top w:val="nil"/>
        <w:left w:val="nil"/>
        <w:bottom w:val="nil"/>
        <w:right w:val="nil"/>
        <w:between w:val="nil"/>
      </w:pBdr>
      <w:tabs>
        <w:tab w:val="center" w:pos="4680"/>
        <w:tab w:val="right" w:pos="9360"/>
      </w:tabs>
      <w:spacing w:after="0" w:line="240" w:lineRule="auto"/>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F74E" w14:textId="77777777" w:rsidR="00E25222" w:rsidRDefault="00920315">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0D83F695" wp14:editId="1A976D2D">
          <wp:extent cx="2600325" cy="914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00325"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913F9"/>
    <w:multiLevelType w:val="multilevel"/>
    <w:tmpl w:val="EA3C8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A67DAF"/>
    <w:multiLevelType w:val="multilevel"/>
    <w:tmpl w:val="0CB027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F02082"/>
    <w:multiLevelType w:val="multilevel"/>
    <w:tmpl w:val="ADE6FA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F607F6"/>
    <w:multiLevelType w:val="multilevel"/>
    <w:tmpl w:val="447CC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EB208E"/>
    <w:multiLevelType w:val="multilevel"/>
    <w:tmpl w:val="40149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553D7F"/>
    <w:multiLevelType w:val="multilevel"/>
    <w:tmpl w:val="E2B25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9B35EF"/>
    <w:multiLevelType w:val="multilevel"/>
    <w:tmpl w:val="960E1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8B3D19"/>
    <w:multiLevelType w:val="multilevel"/>
    <w:tmpl w:val="2F38FEA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590D18B0"/>
    <w:multiLevelType w:val="multilevel"/>
    <w:tmpl w:val="B4F00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61060F"/>
    <w:multiLevelType w:val="multilevel"/>
    <w:tmpl w:val="3344073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7BCF161E"/>
    <w:multiLevelType w:val="multilevel"/>
    <w:tmpl w:val="826CFF32"/>
    <w:lvl w:ilvl="0">
      <w:start w:val="1"/>
      <w:numFmt w:val="decimal"/>
      <w:lvlText w:val="%1."/>
      <w:lvlJc w:val="left"/>
      <w:pPr>
        <w:ind w:left="720" w:hanging="360"/>
      </w:pPr>
    </w:lvl>
    <w:lvl w:ilvl="1">
      <w:start w:val="1"/>
      <w:numFmt w:val="bullet"/>
      <w:lvlText w:val="1"/>
      <w:lvlJc w:val="left"/>
      <w:pPr>
        <w:ind w:left="1440" w:hanging="360"/>
      </w:pPr>
    </w:lvl>
    <w:lvl w:ilvl="2">
      <w:start w:val="1"/>
      <w:numFmt w:val="decimal"/>
      <w:lvlText w:val="%1.1.%3."/>
      <w:lvlJc w:val="left"/>
      <w:pPr>
        <w:ind w:left="2160" w:hanging="180"/>
      </w:pPr>
    </w:lvl>
    <w:lvl w:ilvl="3">
      <w:start w:val="1"/>
      <w:numFmt w:val="decimal"/>
      <w:lvlText w:val="%1.1.%3.%4."/>
      <w:lvlJc w:val="left"/>
      <w:pPr>
        <w:ind w:left="2880" w:hanging="360"/>
      </w:pPr>
    </w:lvl>
    <w:lvl w:ilvl="4">
      <w:start w:val="1"/>
      <w:numFmt w:val="decimal"/>
      <w:lvlText w:val="%1.1.%3.%4.%5."/>
      <w:lvlJc w:val="left"/>
      <w:pPr>
        <w:ind w:left="3600" w:hanging="360"/>
      </w:pPr>
    </w:lvl>
    <w:lvl w:ilvl="5">
      <w:start w:val="1"/>
      <w:numFmt w:val="decimal"/>
      <w:lvlText w:val="%1.1.%3.%4.%5.%6."/>
      <w:lvlJc w:val="left"/>
      <w:pPr>
        <w:ind w:left="4320" w:hanging="180"/>
      </w:pPr>
    </w:lvl>
    <w:lvl w:ilvl="6">
      <w:start w:val="1"/>
      <w:numFmt w:val="decimal"/>
      <w:lvlText w:val="%1.1.%3.%4.%5.%6.%7."/>
      <w:lvlJc w:val="left"/>
      <w:pPr>
        <w:ind w:left="5040" w:hanging="360"/>
      </w:pPr>
    </w:lvl>
    <w:lvl w:ilvl="7">
      <w:start w:val="1"/>
      <w:numFmt w:val="decimal"/>
      <w:lvlText w:val="%1.1.%3.%4.%5.%6.%7.%8."/>
      <w:lvlJc w:val="left"/>
      <w:pPr>
        <w:ind w:left="5760" w:hanging="360"/>
      </w:pPr>
    </w:lvl>
    <w:lvl w:ilvl="8">
      <w:start w:val="1"/>
      <w:numFmt w:val="decimal"/>
      <w:lvlText w:val="%1.1.%3.%4.%5.%6.%7.%8.%9."/>
      <w:lvlJc w:val="left"/>
      <w:pPr>
        <w:ind w:left="6480" w:hanging="180"/>
      </w:pPr>
    </w:lvl>
  </w:abstractNum>
  <w:abstractNum w:abstractNumId="11" w15:restartNumberingAfterBreak="0">
    <w:nsid w:val="7DBF5201"/>
    <w:multiLevelType w:val="multilevel"/>
    <w:tmpl w:val="703E7E3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147581">
    <w:abstractNumId w:val="3"/>
  </w:num>
  <w:num w:numId="2" w16cid:durableId="1090158064">
    <w:abstractNumId w:val="6"/>
  </w:num>
  <w:num w:numId="3" w16cid:durableId="851990891">
    <w:abstractNumId w:val="1"/>
  </w:num>
  <w:num w:numId="4" w16cid:durableId="711879633">
    <w:abstractNumId w:val="11"/>
  </w:num>
  <w:num w:numId="5" w16cid:durableId="884869922">
    <w:abstractNumId w:val="0"/>
  </w:num>
  <w:num w:numId="6" w16cid:durableId="699744034">
    <w:abstractNumId w:val="7"/>
  </w:num>
  <w:num w:numId="7" w16cid:durableId="567157016">
    <w:abstractNumId w:val="8"/>
  </w:num>
  <w:num w:numId="8" w16cid:durableId="2030835429">
    <w:abstractNumId w:val="2"/>
  </w:num>
  <w:num w:numId="9" w16cid:durableId="56441375">
    <w:abstractNumId w:val="9"/>
  </w:num>
  <w:num w:numId="10" w16cid:durableId="964115113">
    <w:abstractNumId w:val="10"/>
  </w:num>
  <w:num w:numId="11" w16cid:durableId="2025086273">
    <w:abstractNumId w:val="5"/>
  </w:num>
  <w:num w:numId="12" w16cid:durableId="1181352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22"/>
    <w:rsid w:val="00051559"/>
    <w:rsid w:val="00051985"/>
    <w:rsid w:val="003410FE"/>
    <w:rsid w:val="00812FCD"/>
    <w:rsid w:val="00837C00"/>
    <w:rsid w:val="00920315"/>
    <w:rsid w:val="00A13CBF"/>
    <w:rsid w:val="00B703FE"/>
    <w:rsid w:val="00C75C37"/>
    <w:rsid w:val="00CD104B"/>
    <w:rsid w:val="00E25222"/>
    <w:rsid w:val="00E71F8A"/>
    <w:rsid w:val="00EE45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10FD7"/>
  <w15:docId w15:val="{3C52ED6C-0A62-49DA-9695-9AEE65C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dvawnow.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ndvawno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iacp.org/sites/default/files/all/i-j/IACPIntimatePartnerViolenceResponsePolicyandTrainingGuidelines2017.pdf" TargetMode="External"/><Relationship Id="rId13" Type="http://schemas.openxmlformats.org/officeDocument/2006/relationships/hyperlink" Target="https://www.un.org/womenwatch/daw/vaw/handbook/Handbook%20for%20legislation%20on%20violence%20against%20women.pdf" TargetMode="External"/><Relationship Id="rId18" Type="http://schemas.openxmlformats.org/officeDocument/2006/relationships/hyperlink" Target="https://digitallibrary.un.org/record/3929055" TargetMode="External"/><Relationship Id="rId3" Type="http://schemas.openxmlformats.org/officeDocument/2006/relationships/hyperlink" Target="https://minjust.gov.tm/ru/hukuk/merkezi/hukuk/539" TargetMode="External"/><Relationship Id="rId21" Type="http://schemas.openxmlformats.org/officeDocument/2006/relationships/hyperlink" Target="https://www.un.org/womenwatch/daw/vaw/handbook/Handbook%20for%20legislation%20on%20violence%20against%20women.pdf" TargetMode="External"/><Relationship Id="rId7" Type="http://schemas.openxmlformats.org/officeDocument/2006/relationships/hyperlink" Target="https://www.un.org/womenwatch/daw/vaw/handbook/Handbook%20for%20legislation%20on%20violence%20against%20women.pdf" TargetMode="External"/><Relationship Id="rId12" Type="http://schemas.openxmlformats.org/officeDocument/2006/relationships/hyperlink" Target="https://endvawnow.org/en/articles/441-criminal-penalties-and-procedures.html?next=426" TargetMode="External"/><Relationship Id="rId17" Type="http://schemas.openxmlformats.org/officeDocument/2006/relationships/hyperlink" Target="https://rm.coe.int/168046031c" TargetMode="External"/><Relationship Id="rId2" Type="http://schemas.openxmlformats.org/officeDocument/2006/relationships/hyperlink" Target="https://minjust.gov.tm/ru/hukuk/merkezi/hukuk/304" TargetMode="External"/><Relationship Id="rId16" Type="http://schemas.openxmlformats.org/officeDocument/2006/relationships/hyperlink" Target="https://digitallibrary.un.org/record/3929055" TargetMode="External"/><Relationship Id="rId20" Type="http://schemas.openxmlformats.org/officeDocument/2006/relationships/hyperlink" Target="https://ndaa.org/wp-content/uploads/NDAA-DV-White-Paper-FINAL-revised-June-23-2020-1.pdf" TargetMode="External"/><Relationship Id="rId1" Type="http://schemas.openxmlformats.org/officeDocument/2006/relationships/hyperlink" Target="https://minjust.gov.tm/ru/hukuk/merkezi/hukuk/1" TargetMode="External"/><Relationship Id="rId6" Type="http://schemas.openxmlformats.org/officeDocument/2006/relationships/hyperlink" Target="https://www.theduluthmodel.org/wheels/understanding-power-control-wheel/" TargetMode="External"/><Relationship Id="rId11" Type="http://schemas.openxmlformats.org/officeDocument/2006/relationships/hyperlink" Target="https://www.un.org/womenwatch/daw/vaw/handbook/Handbook%20for%20legislation%20on%20violence%20against%20women.pdf" TargetMode="External"/><Relationship Id="rId5" Type="http://schemas.openxmlformats.org/officeDocument/2006/relationships/hyperlink" Target="https://www.stopvaw.org/uploads/coercive_control_a_new_model_for_understanding_domestic_violence.pdf" TargetMode="External"/><Relationship Id="rId15" Type="http://schemas.openxmlformats.org/officeDocument/2006/relationships/hyperlink" Target="https://digitallibrary.un.org/record/3929055" TargetMode="External"/><Relationship Id="rId23" Type="http://schemas.openxmlformats.org/officeDocument/2006/relationships/hyperlink" Target="https://www.coe.int/t/dg2/equality/domesticviolencecampaign/Source/EG-VAW-CONF(2007)Study%20rev.en.pdf" TargetMode="External"/><Relationship Id="rId10" Type="http://schemas.openxmlformats.org/officeDocument/2006/relationships/hyperlink" Target="https://endvawnow.org/en/articles/441-criminal-penalties-and-procedures.html?next=426" TargetMode="External"/><Relationship Id="rId19" Type="http://schemas.openxmlformats.org/officeDocument/2006/relationships/hyperlink" Target="https://digitallibrary.un.org/record/3929055" TargetMode="External"/><Relationship Id="rId4" Type="http://schemas.openxmlformats.org/officeDocument/2006/relationships/hyperlink" Target="https://www.unwomen.org/sites/default/files/Headquarters/Attachments/Sections/Library/Publications/2012/12/UNW_Legislation-Handbook%20pdf.pdf" TargetMode="External"/><Relationship Id="rId9" Type="http://schemas.openxmlformats.org/officeDocument/2006/relationships/hyperlink" Target="https://www.unwomen.org/sites/default/files/2022-10/A-77-302-SG-report-EVAWG-en.pdf" TargetMode="External"/><Relationship Id="rId14" Type="http://schemas.openxmlformats.org/officeDocument/2006/relationships/hyperlink" Target="https://digitallibrary.un.org/record/3929055" TargetMode="External"/><Relationship Id="rId22" Type="http://schemas.openxmlformats.org/officeDocument/2006/relationships/hyperlink" Target="http://www.un.org/womenwatch/daw/egm/vaw_legislation_2008/Report%20EGMGPLVAW%20(final%2011.11.0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edc326-51d7-4b55-8ad2-be3c089082a7">
      <Terms xmlns="http://schemas.microsoft.com/office/infopath/2007/PartnerControls"/>
    </lcf76f155ced4ddcb4097134ff3c332f>
    <TaxCatchAll xmlns="e968d4b9-9f0d-4b6f-81c6-222446f609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D7490B41A0140A28DEC4F5394052F" ma:contentTypeVersion="17" ma:contentTypeDescription="Create a new document." ma:contentTypeScope="" ma:versionID="5886afe2cd2fd63dfe61361fe2f6a763">
  <xsd:schema xmlns:xsd="http://www.w3.org/2001/XMLSchema" xmlns:xs="http://www.w3.org/2001/XMLSchema" xmlns:p="http://schemas.microsoft.com/office/2006/metadata/properties" xmlns:ns2="8dedc326-51d7-4b55-8ad2-be3c089082a7" xmlns:ns3="e968d4b9-9f0d-4b6f-81c6-222446f6098e" targetNamespace="http://schemas.microsoft.com/office/2006/metadata/properties" ma:root="true" ma:fieldsID="a1f364ce02f2aca1567d9b53924fcad3" ns2:_="" ns3:_="">
    <xsd:import namespace="8dedc326-51d7-4b55-8ad2-be3c089082a7"/>
    <xsd:import namespace="e968d4b9-9f0d-4b6f-81c6-222446f60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dc326-51d7-4b55-8ad2-be3c08908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8d4b9-9f0d-4b6f-81c6-222446f609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9ed574-7341-4ea9-97c8-c804e64c9566}" ma:internalName="TaxCatchAll" ma:showField="CatchAllData" ma:web="e968d4b9-9f0d-4b6f-81c6-222446f60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C3894-CA84-44DB-A550-22789E4BCF44}">
  <ds:schemaRefs>
    <ds:schemaRef ds:uri="http://schemas.microsoft.com/office/2006/metadata/properties"/>
    <ds:schemaRef ds:uri="http://schemas.microsoft.com/office/infopath/2007/PartnerControls"/>
    <ds:schemaRef ds:uri="8dedc326-51d7-4b55-8ad2-be3c089082a7"/>
    <ds:schemaRef ds:uri="e968d4b9-9f0d-4b6f-81c6-222446f6098e"/>
  </ds:schemaRefs>
</ds:datastoreItem>
</file>

<file path=customXml/itemProps2.xml><?xml version="1.0" encoding="utf-8"?>
<ds:datastoreItem xmlns:ds="http://schemas.openxmlformats.org/officeDocument/2006/customXml" ds:itemID="{C6F8AAD9-94F7-47C0-B38D-03BA3D0F9539}">
  <ds:schemaRefs>
    <ds:schemaRef ds:uri="http://schemas.microsoft.com/sharepoint/v3/contenttype/forms"/>
  </ds:schemaRefs>
</ds:datastoreItem>
</file>

<file path=customXml/itemProps3.xml><?xml version="1.0" encoding="utf-8"?>
<ds:datastoreItem xmlns:ds="http://schemas.openxmlformats.org/officeDocument/2006/customXml" ds:itemID="{5F1C98A9-500A-41D7-B87D-9965439CC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dc326-51d7-4b55-8ad2-be3c089082a7"/>
    <ds:schemaRef ds:uri="e968d4b9-9f0d-4b6f-81c6-222446f60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6835</Words>
  <Characters>38965</Characters>
  <Application>Microsoft Office Word</Application>
  <DocSecurity>0</DocSecurity>
  <Lines>324</Lines>
  <Paragraphs>91</Paragraphs>
  <ScaleCrop>false</ScaleCrop>
  <Company/>
  <LinksUpToDate>false</LinksUpToDate>
  <CharactersWithSpaces>45709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Saglyk Saglyk</dc:creator>
  <cp:lastModifiedBy>Saglyk Saglyk</cp:lastModifiedBy>
  <cp:revision>3</cp:revision>
  <dcterms:created xsi:type="dcterms:W3CDTF">2023-12-29T14:41:00Z</dcterms:created>
  <dcterms:modified xsi:type="dcterms:W3CDTF">2023-12-29T14:41:00Z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GrammarlyDocumentId">
    <vt:lpwstr>1ac14a0aa0e949eaacb5f303e41e299f6c0e30bbfbe341d5bd1256ae66a6e1ae</vt:lpwstr>
  </property>
  <property fmtid="{D5CDD505-2E9C-101B-9397-08002B2CF9AE}" pid="4" name="ContentTypeId">
    <vt:lpwstr>0x010100AF5D7490B41A0140A28DEC4F5394052F</vt:lpwstr>
  </property>
</Properties>
</file>